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华文中宋" w:hAnsi="华文中宋" w:eastAsia="华文中宋" w:cs="华文中宋"/>
          <w:b/>
          <w:bCs/>
          <w:sz w:val="36"/>
          <w:szCs w:val="36"/>
          <w:lang w:val="en-US" w:eastAsia="zh-CN"/>
        </w:rPr>
      </w:pPr>
    </w:p>
    <w:p>
      <w:pPr>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华文中宋" w:hAnsi="华文中宋" w:eastAsia="华文中宋" w:cs="华文中宋"/>
          <w:b/>
          <w:bCs/>
          <w:sz w:val="36"/>
          <w:szCs w:val="36"/>
          <w:lang w:val="en-US" w:eastAsia="zh-CN"/>
        </w:rPr>
      </w:pPr>
    </w:p>
    <w:p>
      <w:pPr>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华文中宋" w:hAnsi="华文中宋" w:eastAsia="华文中宋" w:cs="华文中宋"/>
          <w:b/>
          <w:bCs/>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960" w:lineRule="exact"/>
        <w:ind w:left="0" w:leftChars="0" w:right="0" w:rightChars="0" w:firstLine="0" w:firstLineChars="0"/>
        <w:jc w:val="center"/>
        <w:textAlignment w:val="auto"/>
        <w:outlineLvl w:val="9"/>
        <w:rPr>
          <w:rFonts w:hint="eastAsia" w:ascii="华文中宋" w:hAnsi="华文中宋" w:eastAsia="华文中宋" w:cs="华文中宋"/>
          <w:b/>
          <w:bCs/>
          <w:sz w:val="36"/>
          <w:szCs w:val="36"/>
          <w:lang w:val="en-US" w:eastAsia="zh-CN"/>
        </w:rPr>
      </w:pPr>
      <w:r>
        <w:rPr>
          <w:rFonts w:hint="eastAsia" w:ascii="华文中宋" w:hAnsi="华文中宋" w:eastAsia="华文中宋" w:cs="华文中宋"/>
          <w:b/>
          <w:bCs/>
          <w:sz w:val="36"/>
          <w:szCs w:val="36"/>
          <w:lang w:val="en-US" w:eastAsia="zh-CN"/>
        </w:rPr>
        <w:t>北京交通大学教育基金会企事业单位及个人捐助</w:t>
      </w:r>
    </w:p>
    <w:p>
      <w:pPr>
        <w:keepNext w:val="0"/>
        <w:keepLines w:val="0"/>
        <w:pageBreakBefore w:val="0"/>
        <w:widowControl w:val="0"/>
        <w:kinsoku/>
        <w:wordWrap/>
        <w:overflowPunct/>
        <w:topLinePunct w:val="0"/>
        <w:autoSpaceDE/>
        <w:autoSpaceDN/>
        <w:bidi w:val="0"/>
        <w:adjustRightInd/>
        <w:snapToGrid/>
        <w:spacing w:line="960" w:lineRule="exact"/>
        <w:ind w:left="0" w:leftChars="0" w:right="0" w:rightChars="0" w:firstLine="0" w:firstLineChars="0"/>
        <w:jc w:val="center"/>
        <w:textAlignment w:val="auto"/>
        <w:outlineLvl w:val="9"/>
        <w:rPr>
          <w:rFonts w:hint="eastAsia" w:ascii="华文中宋" w:hAnsi="华文中宋" w:eastAsia="华文中宋" w:cs="华文中宋"/>
          <w:b/>
          <w:bCs/>
          <w:sz w:val="36"/>
          <w:szCs w:val="36"/>
          <w:lang w:val="en-US" w:eastAsia="zh-CN"/>
        </w:rPr>
      </w:pPr>
      <w:r>
        <w:rPr>
          <w:rFonts w:hint="eastAsia" w:ascii="华文中宋" w:hAnsi="华文中宋" w:eastAsia="华文中宋" w:cs="华文中宋"/>
          <w:b/>
          <w:bCs/>
          <w:sz w:val="36"/>
          <w:szCs w:val="36"/>
          <w:lang w:val="en-US" w:eastAsia="zh-CN"/>
        </w:rPr>
        <w:t>奖助学金项目评选条件、管理办法摘要</w:t>
      </w:r>
    </w:p>
    <w:p>
      <w:pPr>
        <w:keepNext w:val="0"/>
        <w:keepLines w:val="0"/>
        <w:pageBreakBefore w:val="0"/>
        <w:widowControl w:val="0"/>
        <w:kinsoku/>
        <w:wordWrap/>
        <w:overflowPunct/>
        <w:topLinePunct w:val="0"/>
        <w:autoSpaceDE/>
        <w:autoSpaceDN/>
        <w:bidi w:val="0"/>
        <w:adjustRightInd/>
        <w:snapToGrid/>
        <w:spacing w:line="960" w:lineRule="exact"/>
        <w:ind w:left="0" w:leftChars="0" w:right="0" w:rightChars="0" w:firstLine="0" w:firstLineChars="0"/>
        <w:jc w:val="center"/>
        <w:textAlignment w:val="auto"/>
        <w:outlineLvl w:val="9"/>
        <w:rPr>
          <w:rFonts w:hint="eastAsia" w:ascii="华文中宋" w:hAnsi="华文中宋" w:eastAsia="华文中宋" w:cs="华文中宋"/>
          <w:b/>
          <w:bCs/>
          <w:sz w:val="36"/>
          <w:szCs w:val="36"/>
          <w:lang w:val="en-US" w:eastAsia="zh-CN"/>
        </w:rPr>
      </w:pPr>
    </w:p>
    <w:p>
      <w:pPr>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华文中宋" w:hAnsi="华文中宋" w:eastAsia="华文中宋" w:cs="华文中宋"/>
          <w:b/>
          <w:bCs/>
          <w:sz w:val="36"/>
          <w:szCs w:val="36"/>
          <w:lang w:val="en-US" w:eastAsia="zh-CN"/>
        </w:rPr>
      </w:pPr>
    </w:p>
    <w:p>
      <w:pPr>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华文中宋" w:hAnsi="华文中宋" w:eastAsia="华文中宋" w:cs="华文中宋"/>
          <w:b/>
          <w:bCs/>
          <w:sz w:val="36"/>
          <w:szCs w:val="36"/>
          <w:lang w:val="en-US" w:eastAsia="zh-CN"/>
        </w:rPr>
      </w:pPr>
    </w:p>
    <w:p>
      <w:pPr>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华文中宋" w:hAnsi="华文中宋" w:eastAsia="华文中宋" w:cs="华文中宋"/>
          <w:b/>
          <w:bCs/>
          <w:sz w:val="36"/>
          <w:szCs w:val="36"/>
          <w:lang w:val="en-US" w:eastAsia="zh-CN"/>
        </w:rPr>
      </w:pPr>
    </w:p>
    <w:p>
      <w:pPr>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华文中宋" w:hAnsi="华文中宋" w:eastAsia="华文中宋" w:cs="华文中宋"/>
          <w:b/>
          <w:bCs/>
          <w:sz w:val="36"/>
          <w:szCs w:val="36"/>
          <w:lang w:val="en-US" w:eastAsia="zh-CN"/>
        </w:rPr>
      </w:pPr>
    </w:p>
    <w:p>
      <w:pPr>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华文中宋" w:hAnsi="华文中宋" w:eastAsia="华文中宋" w:cs="华文中宋"/>
          <w:b/>
          <w:bCs/>
          <w:sz w:val="36"/>
          <w:szCs w:val="36"/>
          <w:lang w:val="en-US" w:eastAsia="zh-CN"/>
        </w:rPr>
      </w:pPr>
    </w:p>
    <w:p>
      <w:pPr>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华文中宋" w:hAnsi="华文中宋" w:eastAsia="华文中宋" w:cs="华文中宋"/>
          <w:b/>
          <w:bCs/>
          <w:sz w:val="36"/>
          <w:szCs w:val="36"/>
          <w:lang w:val="en-US" w:eastAsia="zh-CN"/>
        </w:rPr>
      </w:pPr>
    </w:p>
    <w:p>
      <w:pPr>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华文中宋" w:hAnsi="华文中宋" w:eastAsia="华文中宋" w:cs="华文中宋"/>
          <w:b/>
          <w:bCs/>
          <w:sz w:val="36"/>
          <w:szCs w:val="36"/>
          <w:lang w:val="en-US" w:eastAsia="zh-CN"/>
        </w:rPr>
      </w:pPr>
    </w:p>
    <w:p>
      <w:pPr>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华文中宋" w:hAnsi="华文中宋" w:eastAsia="华文中宋" w:cs="华文中宋"/>
          <w:b/>
          <w:bCs/>
          <w:sz w:val="36"/>
          <w:szCs w:val="36"/>
          <w:lang w:val="en-US" w:eastAsia="zh-CN"/>
        </w:rPr>
      </w:pPr>
    </w:p>
    <w:p>
      <w:pPr>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华文中宋" w:hAnsi="华文中宋" w:eastAsia="华文中宋" w:cs="华文中宋"/>
          <w:b/>
          <w:bCs/>
          <w:sz w:val="36"/>
          <w:szCs w:val="36"/>
          <w:lang w:val="en-US" w:eastAsia="zh-CN"/>
        </w:rPr>
      </w:pPr>
    </w:p>
    <w:p>
      <w:pPr>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华文中宋" w:hAnsi="华文中宋" w:eastAsia="华文中宋" w:cs="华文中宋"/>
          <w:b/>
          <w:bCs/>
          <w:sz w:val="36"/>
          <w:szCs w:val="36"/>
          <w:lang w:val="en-US" w:eastAsia="zh-CN"/>
        </w:rPr>
      </w:pPr>
    </w:p>
    <w:p>
      <w:pPr>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华文中宋" w:hAnsi="华文中宋" w:eastAsia="华文中宋" w:cs="华文中宋"/>
          <w:b/>
          <w:bCs/>
          <w:sz w:val="36"/>
          <w:szCs w:val="36"/>
          <w:lang w:val="en-US" w:eastAsia="zh-CN"/>
        </w:rPr>
      </w:pPr>
    </w:p>
    <w:p>
      <w:pPr>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华文中宋" w:hAnsi="华文中宋" w:eastAsia="华文中宋" w:cs="华文中宋"/>
          <w:b/>
          <w:bCs/>
          <w:sz w:val="36"/>
          <w:szCs w:val="36"/>
          <w:lang w:val="en-US" w:eastAsia="zh-CN"/>
        </w:rPr>
      </w:pPr>
    </w:p>
    <w:p>
      <w:pPr>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华文中宋" w:hAnsi="华文中宋" w:eastAsia="华文中宋" w:cs="华文中宋"/>
          <w:b/>
          <w:bCs/>
          <w:sz w:val="36"/>
          <w:szCs w:val="36"/>
          <w:lang w:val="en-US" w:eastAsia="zh-CN"/>
        </w:rPr>
      </w:pPr>
    </w:p>
    <w:p>
      <w:pPr>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华文中宋" w:hAnsi="华文中宋" w:eastAsia="华文中宋" w:cs="华文中宋"/>
          <w:b/>
          <w:bCs/>
          <w:sz w:val="36"/>
          <w:szCs w:val="36"/>
          <w:lang w:val="en-US" w:eastAsia="zh-CN"/>
        </w:rPr>
      </w:pPr>
    </w:p>
    <w:p>
      <w:pPr>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华文中宋" w:hAnsi="华文中宋" w:eastAsia="华文中宋" w:cs="华文中宋"/>
          <w:b/>
          <w:bCs/>
          <w:sz w:val="30"/>
          <w:szCs w:val="30"/>
          <w:lang w:val="en-US" w:eastAsia="zh-CN"/>
        </w:rPr>
      </w:pPr>
      <w:r>
        <w:rPr>
          <w:rFonts w:hint="eastAsia" w:ascii="华文中宋" w:hAnsi="华文中宋" w:eastAsia="华文中宋" w:cs="华文中宋"/>
          <w:b/>
          <w:bCs/>
          <w:sz w:val="30"/>
          <w:szCs w:val="30"/>
          <w:lang w:val="en-US" w:eastAsia="zh-CN"/>
        </w:rPr>
        <w:t>北京交通大学教育基金会</w:t>
      </w:r>
    </w:p>
    <w:p>
      <w:pPr>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华文中宋" w:hAnsi="华文中宋" w:eastAsia="华文中宋" w:cs="华文中宋"/>
          <w:b/>
          <w:bCs/>
          <w:sz w:val="30"/>
          <w:szCs w:val="30"/>
          <w:lang w:val="en-US" w:eastAsia="zh-CN"/>
        </w:rPr>
      </w:pPr>
      <w:r>
        <w:rPr>
          <w:rFonts w:hint="eastAsia" w:ascii="华文中宋" w:hAnsi="华文中宋" w:eastAsia="华文中宋" w:cs="华文中宋"/>
          <w:b/>
          <w:bCs/>
          <w:sz w:val="30"/>
          <w:szCs w:val="30"/>
          <w:lang w:val="en-US" w:eastAsia="zh-CN"/>
        </w:rPr>
        <w:t>2019年9月</w:t>
      </w:r>
    </w:p>
    <w:p>
      <w:pPr>
        <w:pageBreakBefore w:val="0"/>
        <w:widowControl w:val="0"/>
        <w:tabs>
          <w:tab w:val="left" w:pos="228"/>
        </w:tabs>
        <w:kinsoku/>
        <w:wordWrap/>
        <w:overflowPunct/>
        <w:topLinePunct w:val="0"/>
        <w:autoSpaceDE/>
        <w:autoSpaceDN/>
        <w:bidi w:val="0"/>
        <w:adjustRightInd/>
        <w:snapToGrid/>
        <w:spacing w:line="560" w:lineRule="exact"/>
        <w:ind w:left="0" w:leftChars="0" w:right="0" w:rightChars="0" w:firstLine="0" w:firstLineChars="0"/>
        <w:jc w:val="left"/>
        <w:textAlignment w:val="auto"/>
        <w:rPr>
          <w:rFonts w:hint="eastAsia" w:ascii="华文中宋" w:hAnsi="华文中宋" w:eastAsia="华文中宋" w:cs="华文中宋"/>
          <w:b/>
          <w:bCs/>
          <w:sz w:val="36"/>
          <w:szCs w:val="36"/>
          <w:lang w:val="en-US" w:eastAsia="zh-CN"/>
        </w:rPr>
        <w:sectPr>
          <w:pgSz w:w="11906" w:h="16838"/>
          <w:pgMar w:top="1440" w:right="1800" w:bottom="1440" w:left="1800" w:header="851" w:footer="992" w:gutter="0"/>
          <w:pgNumType w:fmt="decimal"/>
          <w:cols w:space="425" w:num="1"/>
          <w:docGrid w:type="lines" w:linePitch="312" w:charSpace="0"/>
        </w:sectPr>
      </w:pPr>
      <w:r>
        <w:rPr>
          <w:rFonts w:hint="eastAsia" w:ascii="华文中宋" w:hAnsi="华文中宋" w:eastAsia="华文中宋" w:cs="华文中宋"/>
          <w:b/>
          <w:bCs/>
          <w:sz w:val="36"/>
          <w:szCs w:val="36"/>
          <w:lang w:val="en-US" w:eastAsia="zh-CN"/>
        </w:rPr>
        <w:br w:type="page"/>
      </w:r>
    </w:p>
    <w:p>
      <w:pPr>
        <w:pageBreakBefore w:val="0"/>
        <w:widowControl w:val="0"/>
        <w:tabs>
          <w:tab w:val="left" w:pos="228"/>
        </w:tabs>
        <w:kinsoku/>
        <w:wordWrap/>
        <w:overflowPunct/>
        <w:topLinePunct w:val="0"/>
        <w:autoSpaceDE/>
        <w:autoSpaceDN/>
        <w:bidi w:val="0"/>
        <w:adjustRightInd/>
        <w:snapToGrid/>
        <w:spacing w:line="560" w:lineRule="exact"/>
        <w:ind w:left="0" w:leftChars="0" w:right="0" w:rightChars="0" w:firstLine="0" w:firstLineChars="0"/>
        <w:jc w:val="left"/>
        <w:textAlignment w:val="auto"/>
        <w:rPr>
          <w:rFonts w:hint="eastAsia" w:ascii="华文中宋" w:hAnsi="华文中宋" w:eastAsia="华文中宋" w:cs="华文中宋"/>
          <w:b/>
          <w:bCs/>
          <w:sz w:val="36"/>
          <w:szCs w:val="36"/>
          <w:lang w:val="en-US" w:eastAsia="zh-CN"/>
        </w:rPr>
      </w:pPr>
    </w:p>
    <w:p>
      <w:pPr>
        <w:pageBreakBefore w:val="0"/>
        <w:widowControl w:val="0"/>
        <w:tabs>
          <w:tab w:val="left" w:pos="228"/>
        </w:tabs>
        <w:kinsoku/>
        <w:wordWrap/>
        <w:overflowPunct/>
        <w:topLinePunct w:val="0"/>
        <w:autoSpaceDE/>
        <w:autoSpaceDN/>
        <w:bidi w:val="0"/>
        <w:adjustRightInd/>
        <w:snapToGrid/>
        <w:spacing w:line="560" w:lineRule="exact"/>
        <w:ind w:left="0" w:leftChars="0" w:right="0" w:rightChars="0" w:firstLine="0" w:firstLineChars="0"/>
        <w:jc w:val="left"/>
        <w:textAlignment w:val="auto"/>
        <w:rPr>
          <w:rFonts w:hint="eastAsia" w:ascii="华文中宋" w:hAnsi="华文中宋" w:eastAsia="华文中宋" w:cs="华文中宋"/>
          <w:b/>
          <w:bCs/>
          <w:sz w:val="36"/>
          <w:szCs w:val="36"/>
          <w:lang w:val="en-US" w:eastAsia="zh-CN"/>
        </w:rPr>
      </w:pPr>
      <w:r>
        <w:rPr>
          <w:rFonts w:hint="eastAsia" w:ascii="华文中宋" w:hAnsi="华文中宋" w:eastAsia="华文中宋" w:cs="华文中宋"/>
          <w:b/>
          <w:bCs/>
          <w:sz w:val="36"/>
          <w:szCs w:val="36"/>
          <w:lang w:val="en-US" w:eastAsia="zh-CN"/>
        </w:rPr>
        <w:tab/>
      </w:r>
    </w:p>
    <w:p>
      <w:pPr>
        <w:pageBreakBefore w:val="0"/>
        <w:widowControl w:val="0"/>
        <w:tabs>
          <w:tab w:val="left" w:pos="228"/>
        </w:tabs>
        <w:kinsoku/>
        <w:wordWrap/>
        <w:overflowPunct/>
        <w:topLinePunct w:val="0"/>
        <w:autoSpaceDE/>
        <w:autoSpaceDN/>
        <w:bidi w:val="0"/>
        <w:adjustRightInd/>
        <w:snapToGrid/>
        <w:spacing w:line="560" w:lineRule="exact"/>
        <w:ind w:left="0" w:leftChars="0" w:right="0" w:rightChars="0" w:firstLine="0" w:firstLineChars="0"/>
        <w:jc w:val="left"/>
        <w:textAlignment w:val="auto"/>
        <w:rPr>
          <w:rFonts w:hint="eastAsia" w:ascii="华文中宋" w:hAnsi="华文中宋" w:eastAsia="华文中宋" w:cs="华文中宋"/>
          <w:b/>
          <w:bCs/>
          <w:sz w:val="36"/>
          <w:szCs w:val="36"/>
          <w:lang w:val="en-US" w:eastAsia="zh-CN"/>
        </w:rPr>
      </w:pPr>
      <w:r>
        <w:rPr>
          <w:rFonts w:hint="eastAsia" w:ascii="华文中宋" w:hAnsi="华文中宋" w:eastAsia="华文中宋" w:cs="华文中宋"/>
          <w:b/>
          <w:bCs/>
          <w:sz w:val="36"/>
          <w:szCs w:val="36"/>
          <w:lang w:val="en-US" w:eastAsia="zh-CN"/>
        </w:rPr>
        <w:br w:type="page"/>
      </w:r>
    </w:p>
    <w:p>
      <w:pPr>
        <w:pageBreakBefore w:val="0"/>
        <w:widowControl w:val="0"/>
        <w:tabs>
          <w:tab w:val="left" w:pos="228"/>
        </w:tabs>
        <w:kinsoku/>
        <w:wordWrap/>
        <w:overflowPunct/>
        <w:topLinePunct w:val="0"/>
        <w:autoSpaceDE/>
        <w:autoSpaceDN/>
        <w:bidi w:val="0"/>
        <w:adjustRightInd/>
        <w:snapToGrid/>
        <w:spacing w:line="560" w:lineRule="exact"/>
        <w:ind w:left="0" w:leftChars="0" w:right="0" w:rightChars="0" w:firstLine="0" w:firstLineChars="0"/>
        <w:jc w:val="left"/>
        <w:textAlignment w:val="auto"/>
        <w:rPr>
          <w:rFonts w:hint="eastAsia" w:ascii="华文中宋" w:hAnsi="华文中宋" w:eastAsia="华文中宋" w:cs="华文中宋"/>
          <w:b/>
          <w:bCs/>
          <w:sz w:val="36"/>
          <w:szCs w:val="36"/>
          <w:lang w:val="en-US" w:eastAsia="zh-CN"/>
        </w:rPr>
      </w:pPr>
    </w:p>
    <w:sdt>
      <w:sdtPr>
        <w:rPr>
          <w:rFonts w:ascii="宋体" w:hAnsi="宋体" w:eastAsia="宋体" w:cstheme="minorBidi"/>
          <w:b/>
          <w:bCs/>
          <w:kern w:val="2"/>
          <w:sz w:val="32"/>
          <w:szCs w:val="32"/>
          <w:lang w:val="en-US" w:eastAsia="zh-CN" w:bidi="ar-SA"/>
        </w:rPr>
        <w:id w:val="147477550"/>
        <w:docPartObj>
          <w:docPartGallery w:val="Table of Contents"/>
          <w:docPartUnique/>
        </w:docPartObj>
      </w:sdtPr>
      <w:sdtEndPr>
        <w:rPr>
          <w:rFonts w:hint="eastAsia" w:ascii="华文中宋" w:hAnsi="华文中宋" w:eastAsia="华文中宋" w:cs="华文中宋"/>
          <w:b/>
          <w:bCs/>
          <w:kern w:val="2"/>
          <w:sz w:val="21"/>
          <w:szCs w:val="36"/>
          <w:lang w:val="en-US" w:eastAsia="zh-CN" w:bidi="ar-SA"/>
        </w:rPr>
      </w:sdtEndPr>
      <w:sdtContent>
        <w:p>
          <w:pPr>
            <w:spacing w:before="0" w:beforeLines="0" w:after="0" w:afterLines="0" w:line="240" w:lineRule="auto"/>
            <w:ind w:left="0" w:leftChars="0" w:right="0" w:rightChars="0" w:firstLine="0" w:firstLineChars="0"/>
            <w:jc w:val="center"/>
            <w:rPr>
              <w:sz w:val="32"/>
              <w:szCs w:val="32"/>
            </w:rPr>
          </w:pPr>
          <w:r>
            <w:rPr>
              <w:rFonts w:ascii="宋体" w:hAnsi="宋体" w:eastAsia="宋体"/>
              <w:sz w:val="32"/>
              <w:szCs w:val="32"/>
            </w:rPr>
            <w:t>目</w:t>
          </w:r>
          <w:r>
            <w:rPr>
              <w:rFonts w:hint="eastAsia" w:ascii="宋体" w:hAnsi="宋体" w:eastAsia="宋体"/>
              <w:sz w:val="32"/>
              <w:szCs w:val="32"/>
              <w:lang w:val="en-US" w:eastAsia="zh-CN"/>
            </w:rPr>
            <w:t xml:space="preserve">  </w:t>
          </w:r>
          <w:r>
            <w:rPr>
              <w:rFonts w:ascii="宋体" w:hAnsi="宋体" w:eastAsia="宋体"/>
              <w:sz w:val="32"/>
              <w:szCs w:val="32"/>
            </w:rPr>
            <w:t>录</w:t>
          </w:r>
        </w:p>
        <w:p>
          <w:pPr>
            <w:pStyle w:val="7"/>
            <w:tabs>
              <w:tab w:val="right" w:leader="dot" w:pos="8306"/>
            </w:tabs>
          </w:pPr>
          <w:r>
            <w:rPr>
              <w:rFonts w:hint="eastAsia" w:ascii="华文中宋" w:hAnsi="华文中宋" w:eastAsia="华文中宋" w:cs="华文中宋"/>
              <w:b/>
              <w:bCs/>
              <w:sz w:val="36"/>
              <w:szCs w:val="36"/>
              <w:lang w:val="en-US" w:eastAsia="zh-CN"/>
            </w:rPr>
            <w:fldChar w:fldCharType="begin"/>
          </w:r>
          <w:r>
            <w:rPr>
              <w:rFonts w:hint="eastAsia" w:ascii="华文中宋" w:hAnsi="华文中宋" w:eastAsia="华文中宋" w:cs="华文中宋"/>
              <w:b/>
              <w:bCs/>
              <w:sz w:val="36"/>
              <w:szCs w:val="36"/>
              <w:lang w:val="en-US" w:eastAsia="zh-CN"/>
            </w:rPr>
            <w:instrText xml:space="preserve">TOC \o "1-3" \h \u </w:instrText>
          </w:r>
          <w:r>
            <w:rPr>
              <w:rFonts w:hint="eastAsia" w:ascii="华文中宋" w:hAnsi="华文中宋" w:eastAsia="华文中宋" w:cs="华文中宋"/>
              <w:b/>
              <w:bCs/>
              <w:sz w:val="36"/>
              <w:szCs w:val="36"/>
              <w:lang w:val="en-US" w:eastAsia="zh-CN"/>
            </w:rPr>
            <w:fldChar w:fldCharType="separate"/>
          </w:r>
          <w:r>
            <w:rPr>
              <w:rFonts w:hint="eastAsia" w:ascii="华文中宋" w:hAnsi="华文中宋" w:eastAsia="华文中宋" w:cs="华文中宋"/>
              <w:bCs/>
              <w:szCs w:val="36"/>
              <w:lang w:val="en-US" w:eastAsia="zh-CN"/>
            </w:rPr>
            <w:fldChar w:fldCharType="begin"/>
          </w:r>
          <w:r>
            <w:rPr>
              <w:rFonts w:hint="eastAsia" w:ascii="华文中宋" w:hAnsi="华文中宋" w:eastAsia="华文中宋" w:cs="华文中宋"/>
              <w:bCs/>
              <w:szCs w:val="36"/>
              <w:lang w:val="en-US" w:eastAsia="zh-CN"/>
            </w:rPr>
            <w:instrText xml:space="preserve"> HYPERLINK \l _Toc3542 </w:instrText>
          </w:r>
          <w:r>
            <w:rPr>
              <w:rFonts w:hint="eastAsia" w:ascii="华文中宋" w:hAnsi="华文中宋" w:eastAsia="华文中宋" w:cs="华文中宋"/>
              <w:bCs/>
              <w:szCs w:val="36"/>
              <w:lang w:val="en-US" w:eastAsia="zh-CN"/>
            </w:rPr>
            <w:fldChar w:fldCharType="separate"/>
          </w:r>
          <w:r>
            <w:rPr>
              <w:rFonts w:hint="eastAsia" w:ascii="黑体" w:hAnsi="黑体" w:eastAsia="黑体" w:cs="黑体"/>
              <w:bCs/>
              <w:szCs w:val="30"/>
              <w:lang w:val="en-US" w:eastAsia="zh-CN"/>
            </w:rPr>
            <w:t>（一） 钱仲侯奖助学金</w:t>
          </w:r>
          <w:r>
            <w:tab/>
          </w:r>
          <w:r>
            <w:fldChar w:fldCharType="begin"/>
          </w:r>
          <w:r>
            <w:instrText xml:space="preserve"> PAGEREF _Toc3542 </w:instrText>
          </w:r>
          <w:r>
            <w:fldChar w:fldCharType="separate"/>
          </w:r>
          <w:r>
            <w:t>1</w:t>
          </w:r>
          <w:r>
            <w:fldChar w:fldCharType="end"/>
          </w:r>
          <w:r>
            <w:rPr>
              <w:rFonts w:hint="eastAsia" w:ascii="华文中宋" w:hAnsi="华文中宋" w:eastAsia="华文中宋" w:cs="华文中宋"/>
              <w:bCs/>
              <w:szCs w:val="36"/>
              <w:lang w:val="en-US" w:eastAsia="zh-CN"/>
            </w:rPr>
            <w:fldChar w:fldCharType="end"/>
          </w:r>
        </w:p>
        <w:p>
          <w:pPr>
            <w:pStyle w:val="7"/>
            <w:tabs>
              <w:tab w:val="right" w:leader="dot" w:pos="8306"/>
            </w:tabs>
          </w:pPr>
          <w:r>
            <w:rPr>
              <w:rFonts w:hint="eastAsia" w:ascii="华文中宋" w:hAnsi="华文中宋" w:eastAsia="华文中宋" w:cs="华文中宋"/>
              <w:bCs/>
              <w:szCs w:val="36"/>
              <w:lang w:val="en-US" w:eastAsia="zh-CN"/>
            </w:rPr>
            <w:fldChar w:fldCharType="begin"/>
          </w:r>
          <w:r>
            <w:rPr>
              <w:rFonts w:hint="eastAsia" w:ascii="华文中宋" w:hAnsi="华文中宋" w:eastAsia="华文中宋" w:cs="华文中宋"/>
              <w:bCs/>
              <w:szCs w:val="36"/>
              <w:lang w:val="en-US" w:eastAsia="zh-CN"/>
            </w:rPr>
            <w:instrText xml:space="preserve"> HYPERLINK \l _Toc2092 </w:instrText>
          </w:r>
          <w:r>
            <w:rPr>
              <w:rFonts w:hint="eastAsia" w:ascii="华文中宋" w:hAnsi="华文中宋" w:eastAsia="华文中宋" w:cs="华文中宋"/>
              <w:bCs/>
              <w:szCs w:val="36"/>
              <w:lang w:val="en-US" w:eastAsia="zh-CN"/>
            </w:rPr>
            <w:fldChar w:fldCharType="separate"/>
          </w:r>
          <w:r>
            <w:rPr>
              <w:rFonts w:hint="eastAsia" w:ascii="黑体" w:hAnsi="黑体" w:eastAsia="黑体" w:cs="黑体"/>
              <w:bCs/>
              <w:szCs w:val="30"/>
              <w:lang w:val="en-US" w:eastAsia="zh-CN"/>
            </w:rPr>
            <w:t>（二） 智瑾奖</w:t>
          </w:r>
          <w:r>
            <w:tab/>
          </w:r>
          <w:r>
            <w:fldChar w:fldCharType="begin"/>
          </w:r>
          <w:r>
            <w:instrText xml:space="preserve"> PAGEREF _Toc2092 </w:instrText>
          </w:r>
          <w:r>
            <w:fldChar w:fldCharType="separate"/>
          </w:r>
          <w:r>
            <w:t>4</w:t>
          </w:r>
          <w:r>
            <w:fldChar w:fldCharType="end"/>
          </w:r>
          <w:r>
            <w:rPr>
              <w:rFonts w:hint="eastAsia" w:ascii="华文中宋" w:hAnsi="华文中宋" w:eastAsia="华文中宋" w:cs="华文中宋"/>
              <w:bCs/>
              <w:szCs w:val="36"/>
              <w:lang w:val="en-US" w:eastAsia="zh-CN"/>
            </w:rPr>
            <w:fldChar w:fldCharType="end"/>
          </w:r>
        </w:p>
        <w:p>
          <w:pPr>
            <w:pStyle w:val="7"/>
            <w:tabs>
              <w:tab w:val="right" w:leader="dot" w:pos="8306"/>
            </w:tabs>
          </w:pPr>
          <w:r>
            <w:rPr>
              <w:rFonts w:hint="eastAsia" w:ascii="华文中宋" w:hAnsi="华文中宋" w:eastAsia="华文中宋" w:cs="华文中宋"/>
              <w:bCs/>
              <w:szCs w:val="36"/>
              <w:lang w:val="en-US" w:eastAsia="zh-CN"/>
            </w:rPr>
            <w:fldChar w:fldCharType="begin"/>
          </w:r>
          <w:r>
            <w:rPr>
              <w:rFonts w:hint="eastAsia" w:ascii="华文中宋" w:hAnsi="华文中宋" w:eastAsia="华文中宋" w:cs="华文中宋"/>
              <w:bCs/>
              <w:szCs w:val="36"/>
              <w:lang w:val="en-US" w:eastAsia="zh-CN"/>
            </w:rPr>
            <w:instrText xml:space="preserve"> HYPERLINK \l _Toc31929 </w:instrText>
          </w:r>
          <w:r>
            <w:rPr>
              <w:rFonts w:hint="eastAsia" w:ascii="华文中宋" w:hAnsi="华文中宋" w:eastAsia="华文中宋" w:cs="华文中宋"/>
              <w:bCs/>
              <w:szCs w:val="36"/>
              <w:lang w:val="en-US" w:eastAsia="zh-CN"/>
            </w:rPr>
            <w:fldChar w:fldCharType="separate"/>
          </w:r>
          <w:r>
            <w:rPr>
              <w:rFonts w:hint="eastAsia" w:ascii="黑体" w:hAnsi="黑体" w:eastAsia="黑体" w:cs="黑体"/>
              <w:bCs/>
              <w:szCs w:val="30"/>
              <w:lang w:val="en-US" w:eastAsia="zh-CN"/>
            </w:rPr>
            <w:t>（三） 北京公交人才基金</w:t>
          </w:r>
          <w:r>
            <w:tab/>
          </w:r>
          <w:r>
            <w:fldChar w:fldCharType="begin"/>
          </w:r>
          <w:r>
            <w:instrText xml:space="preserve"> PAGEREF _Toc31929 </w:instrText>
          </w:r>
          <w:r>
            <w:fldChar w:fldCharType="separate"/>
          </w:r>
          <w:r>
            <w:t>7</w:t>
          </w:r>
          <w:r>
            <w:fldChar w:fldCharType="end"/>
          </w:r>
          <w:r>
            <w:rPr>
              <w:rFonts w:hint="eastAsia" w:ascii="华文中宋" w:hAnsi="华文中宋" w:eastAsia="华文中宋" w:cs="华文中宋"/>
              <w:bCs/>
              <w:szCs w:val="36"/>
              <w:lang w:val="en-US" w:eastAsia="zh-CN"/>
            </w:rPr>
            <w:fldChar w:fldCharType="end"/>
          </w:r>
        </w:p>
        <w:p>
          <w:pPr>
            <w:pStyle w:val="7"/>
            <w:tabs>
              <w:tab w:val="right" w:leader="dot" w:pos="8306"/>
            </w:tabs>
          </w:pPr>
          <w:r>
            <w:rPr>
              <w:rFonts w:hint="eastAsia" w:ascii="华文中宋" w:hAnsi="华文中宋" w:eastAsia="华文中宋" w:cs="华文中宋"/>
              <w:bCs/>
              <w:szCs w:val="36"/>
              <w:lang w:val="en-US" w:eastAsia="zh-CN"/>
            </w:rPr>
            <w:fldChar w:fldCharType="begin"/>
          </w:r>
          <w:r>
            <w:rPr>
              <w:rFonts w:hint="eastAsia" w:ascii="华文中宋" w:hAnsi="华文中宋" w:eastAsia="华文中宋" w:cs="华文中宋"/>
              <w:bCs/>
              <w:szCs w:val="36"/>
              <w:lang w:val="en-US" w:eastAsia="zh-CN"/>
            </w:rPr>
            <w:instrText xml:space="preserve"> HYPERLINK \l _Toc12697 </w:instrText>
          </w:r>
          <w:r>
            <w:rPr>
              <w:rFonts w:hint="eastAsia" w:ascii="华文中宋" w:hAnsi="华文中宋" w:eastAsia="华文中宋" w:cs="华文中宋"/>
              <w:bCs/>
              <w:szCs w:val="36"/>
              <w:lang w:val="en-US" w:eastAsia="zh-CN"/>
            </w:rPr>
            <w:fldChar w:fldCharType="separate"/>
          </w:r>
          <w:r>
            <w:rPr>
              <w:rFonts w:hint="eastAsia" w:ascii="黑体" w:hAnsi="黑体" w:eastAsia="黑体" w:cs="黑体"/>
              <w:bCs/>
              <w:szCs w:val="30"/>
              <w:lang w:val="en-US" w:eastAsia="zh-CN"/>
            </w:rPr>
            <w:t>（四） 高富浪基金</w:t>
          </w:r>
          <w:r>
            <w:tab/>
          </w:r>
          <w:r>
            <w:fldChar w:fldCharType="begin"/>
          </w:r>
          <w:r>
            <w:instrText xml:space="preserve"> PAGEREF _Toc12697 </w:instrText>
          </w:r>
          <w:r>
            <w:fldChar w:fldCharType="separate"/>
          </w:r>
          <w:r>
            <w:t>10</w:t>
          </w:r>
          <w:r>
            <w:fldChar w:fldCharType="end"/>
          </w:r>
          <w:r>
            <w:rPr>
              <w:rFonts w:hint="eastAsia" w:ascii="华文中宋" w:hAnsi="华文中宋" w:eastAsia="华文中宋" w:cs="华文中宋"/>
              <w:bCs/>
              <w:szCs w:val="36"/>
              <w:lang w:val="en-US" w:eastAsia="zh-CN"/>
            </w:rPr>
            <w:fldChar w:fldCharType="end"/>
          </w:r>
        </w:p>
        <w:p>
          <w:pPr>
            <w:pStyle w:val="7"/>
            <w:tabs>
              <w:tab w:val="right" w:leader="dot" w:pos="8306"/>
            </w:tabs>
          </w:pPr>
          <w:r>
            <w:rPr>
              <w:rFonts w:hint="eastAsia" w:ascii="华文中宋" w:hAnsi="华文中宋" w:eastAsia="华文中宋" w:cs="华文中宋"/>
              <w:bCs/>
              <w:szCs w:val="36"/>
              <w:lang w:val="en-US" w:eastAsia="zh-CN"/>
            </w:rPr>
            <w:fldChar w:fldCharType="begin"/>
          </w:r>
          <w:r>
            <w:rPr>
              <w:rFonts w:hint="eastAsia" w:ascii="华文中宋" w:hAnsi="华文中宋" w:eastAsia="华文中宋" w:cs="华文中宋"/>
              <w:bCs/>
              <w:szCs w:val="36"/>
              <w:lang w:val="en-US" w:eastAsia="zh-CN"/>
            </w:rPr>
            <w:instrText xml:space="preserve"> HYPERLINK \l _Toc25553 </w:instrText>
          </w:r>
          <w:r>
            <w:rPr>
              <w:rFonts w:hint="eastAsia" w:ascii="华文中宋" w:hAnsi="华文中宋" w:eastAsia="华文中宋" w:cs="华文中宋"/>
              <w:bCs/>
              <w:szCs w:val="36"/>
              <w:lang w:val="en-US" w:eastAsia="zh-CN"/>
            </w:rPr>
            <w:fldChar w:fldCharType="separate"/>
          </w:r>
          <w:r>
            <w:rPr>
              <w:rFonts w:hint="eastAsia" w:ascii="黑体" w:hAnsi="黑体" w:eastAsia="黑体" w:cs="黑体"/>
              <w:bCs/>
              <w:szCs w:val="30"/>
              <w:lang w:val="en-US" w:eastAsia="zh-CN"/>
            </w:rPr>
            <w:t>（五） 宝钢教育奖</w:t>
          </w:r>
          <w:r>
            <w:tab/>
          </w:r>
          <w:r>
            <w:fldChar w:fldCharType="begin"/>
          </w:r>
          <w:r>
            <w:instrText xml:space="preserve"> PAGEREF _Toc25553 </w:instrText>
          </w:r>
          <w:r>
            <w:fldChar w:fldCharType="separate"/>
          </w:r>
          <w:r>
            <w:t>11</w:t>
          </w:r>
          <w:r>
            <w:fldChar w:fldCharType="end"/>
          </w:r>
          <w:r>
            <w:rPr>
              <w:rFonts w:hint="eastAsia" w:ascii="华文中宋" w:hAnsi="华文中宋" w:eastAsia="华文中宋" w:cs="华文中宋"/>
              <w:bCs/>
              <w:szCs w:val="36"/>
              <w:lang w:val="en-US" w:eastAsia="zh-CN"/>
            </w:rPr>
            <w:fldChar w:fldCharType="end"/>
          </w:r>
        </w:p>
        <w:p>
          <w:pPr>
            <w:pStyle w:val="7"/>
            <w:tabs>
              <w:tab w:val="right" w:leader="dot" w:pos="8306"/>
            </w:tabs>
          </w:pPr>
          <w:r>
            <w:rPr>
              <w:rFonts w:hint="eastAsia" w:ascii="华文中宋" w:hAnsi="华文中宋" w:eastAsia="华文中宋" w:cs="华文中宋"/>
              <w:bCs/>
              <w:szCs w:val="36"/>
              <w:lang w:val="en-US" w:eastAsia="zh-CN"/>
            </w:rPr>
            <w:fldChar w:fldCharType="begin"/>
          </w:r>
          <w:r>
            <w:rPr>
              <w:rFonts w:hint="eastAsia" w:ascii="华文中宋" w:hAnsi="华文中宋" w:eastAsia="华文中宋" w:cs="华文中宋"/>
              <w:bCs/>
              <w:szCs w:val="36"/>
              <w:lang w:val="en-US" w:eastAsia="zh-CN"/>
            </w:rPr>
            <w:instrText xml:space="preserve"> HYPERLINK \l _Toc332 </w:instrText>
          </w:r>
          <w:r>
            <w:rPr>
              <w:rFonts w:hint="eastAsia" w:ascii="华文中宋" w:hAnsi="华文中宋" w:eastAsia="华文中宋" w:cs="华文中宋"/>
              <w:bCs/>
              <w:szCs w:val="36"/>
              <w:lang w:val="en-US" w:eastAsia="zh-CN"/>
            </w:rPr>
            <w:fldChar w:fldCharType="separate"/>
          </w:r>
          <w:r>
            <w:rPr>
              <w:rFonts w:hint="eastAsia" w:ascii="黑体" w:hAnsi="黑体" w:eastAsia="黑体" w:cs="黑体"/>
              <w:bCs/>
              <w:szCs w:val="30"/>
              <w:lang w:val="en-US" w:eastAsia="zh-CN"/>
            </w:rPr>
            <w:t>（六） 新联铁教育基金</w:t>
          </w:r>
          <w:r>
            <w:tab/>
          </w:r>
          <w:r>
            <w:fldChar w:fldCharType="begin"/>
          </w:r>
          <w:r>
            <w:instrText xml:space="preserve"> PAGEREF _Toc332 </w:instrText>
          </w:r>
          <w:r>
            <w:fldChar w:fldCharType="separate"/>
          </w:r>
          <w:r>
            <w:t>21</w:t>
          </w:r>
          <w:r>
            <w:fldChar w:fldCharType="end"/>
          </w:r>
          <w:r>
            <w:rPr>
              <w:rFonts w:hint="eastAsia" w:ascii="华文中宋" w:hAnsi="华文中宋" w:eastAsia="华文中宋" w:cs="华文中宋"/>
              <w:bCs/>
              <w:szCs w:val="36"/>
              <w:lang w:val="en-US" w:eastAsia="zh-CN"/>
            </w:rPr>
            <w:fldChar w:fldCharType="end"/>
          </w:r>
        </w:p>
        <w:p>
          <w:pPr>
            <w:pStyle w:val="7"/>
            <w:tabs>
              <w:tab w:val="right" w:leader="dot" w:pos="8306"/>
            </w:tabs>
          </w:pPr>
          <w:r>
            <w:rPr>
              <w:rFonts w:hint="eastAsia" w:ascii="华文中宋" w:hAnsi="华文中宋" w:eastAsia="华文中宋" w:cs="华文中宋"/>
              <w:bCs/>
              <w:szCs w:val="36"/>
              <w:lang w:val="en-US" w:eastAsia="zh-CN"/>
            </w:rPr>
            <w:fldChar w:fldCharType="begin"/>
          </w:r>
          <w:r>
            <w:rPr>
              <w:rFonts w:hint="eastAsia" w:ascii="华文中宋" w:hAnsi="华文中宋" w:eastAsia="华文中宋" w:cs="华文中宋"/>
              <w:bCs/>
              <w:szCs w:val="36"/>
              <w:lang w:val="en-US" w:eastAsia="zh-CN"/>
            </w:rPr>
            <w:instrText xml:space="preserve"> HYPERLINK \l _Toc22629 </w:instrText>
          </w:r>
          <w:r>
            <w:rPr>
              <w:rFonts w:hint="eastAsia" w:ascii="华文中宋" w:hAnsi="华文中宋" w:eastAsia="华文中宋" w:cs="华文中宋"/>
              <w:bCs/>
              <w:szCs w:val="36"/>
              <w:lang w:val="en-US" w:eastAsia="zh-CN"/>
            </w:rPr>
            <w:fldChar w:fldCharType="separate"/>
          </w:r>
          <w:r>
            <w:rPr>
              <w:rFonts w:hint="eastAsia" w:ascii="黑体" w:hAnsi="黑体" w:eastAsia="黑体" w:cs="黑体"/>
              <w:bCs/>
              <w:szCs w:val="30"/>
              <w:lang w:val="en-US" w:eastAsia="zh-CN"/>
            </w:rPr>
            <w:t>（七） 思诺教育基金</w:t>
          </w:r>
          <w:r>
            <w:tab/>
          </w:r>
          <w:r>
            <w:fldChar w:fldCharType="begin"/>
          </w:r>
          <w:r>
            <w:instrText xml:space="preserve"> PAGEREF _Toc22629 </w:instrText>
          </w:r>
          <w:r>
            <w:fldChar w:fldCharType="separate"/>
          </w:r>
          <w:r>
            <w:t>24</w:t>
          </w:r>
          <w:r>
            <w:fldChar w:fldCharType="end"/>
          </w:r>
          <w:r>
            <w:rPr>
              <w:rFonts w:hint="eastAsia" w:ascii="华文中宋" w:hAnsi="华文中宋" w:eastAsia="华文中宋" w:cs="华文中宋"/>
              <w:bCs/>
              <w:szCs w:val="36"/>
              <w:lang w:val="en-US" w:eastAsia="zh-CN"/>
            </w:rPr>
            <w:fldChar w:fldCharType="end"/>
          </w:r>
        </w:p>
        <w:p>
          <w:pPr>
            <w:pStyle w:val="7"/>
            <w:tabs>
              <w:tab w:val="right" w:leader="dot" w:pos="8306"/>
            </w:tabs>
          </w:pPr>
          <w:r>
            <w:rPr>
              <w:rFonts w:hint="eastAsia" w:ascii="华文中宋" w:hAnsi="华文中宋" w:eastAsia="华文中宋" w:cs="华文中宋"/>
              <w:bCs/>
              <w:szCs w:val="36"/>
              <w:lang w:val="en-US" w:eastAsia="zh-CN"/>
            </w:rPr>
            <w:fldChar w:fldCharType="begin"/>
          </w:r>
          <w:r>
            <w:rPr>
              <w:rFonts w:hint="eastAsia" w:ascii="华文中宋" w:hAnsi="华文中宋" w:eastAsia="华文中宋" w:cs="华文中宋"/>
              <w:bCs/>
              <w:szCs w:val="36"/>
              <w:lang w:val="en-US" w:eastAsia="zh-CN"/>
            </w:rPr>
            <w:instrText xml:space="preserve"> HYPERLINK \l _Toc8367 </w:instrText>
          </w:r>
          <w:r>
            <w:rPr>
              <w:rFonts w:hint="eastAsia" w:ascii="华文中宋" w:hAnsi="华文中宋" w:eastAsia="华文中宋" w:cs="华文中宋"/>
              <w:bCs/>
              <w:szCs w:val="36"/>
              <w:lang w:val="en-US" w:eastAsia="zh-CN"/>
            </w:rPr>
            <w:fldChar w:fldCharType="separate"/>
          </w:r>
          <w:r>
            <w:rPr>
              <w:rFonts w:hint="eastAsia" w:ascii="黑体" w:hAnsi="黑体" w:eastAsia="黑体" w:cs="黑体"/>
              <w:bCs/>
              <w:szCs w:val="30"/>
              <w:lang w:val="en-US" w:eastAsia="zh-CN"/>
            </w:rPr>
            <w:t>（八） 江西校友会助学金</w:t>
          </w:r>
          <w:r>
            <w:tab/>
          </w:r>
          <w:r>
            <w:fldChar w:fldCharType="begin"/>
          </w:r>
          <w:r>
            <w:instrText xml:space="preserve"> PAGEREF _Toc8367 </w:instrText>
          </w:r>
          <w:r>
            <w:fldChar w:fldCharType="separate"/>
          </w:r>
          <w:r>
            <w:t>24</w:t>
          </w:r>
          <w:r>
            <w:fldChar w:fldCharType="end"/>
          </w:r>
          <w:r>
            <w:rPr>
              <w:rFonts w:hint="eastAsia" w:ascii="华文中宋" w:hAnsi="华文中宋" w:eastAsia="华文中宋" w:cs="华文中宋"/>
              <w:bCs/>
              <w:szCs w:val="36"/>
              <w:lang w:val="en-US" w:eastAsia="zh-CN"/>
            </w:rPr>
            <w:fldChar w:fldCharType="end"/>
          </w:r>
        </w:p>
        <w:p>
          <w:pPr>
            <w:pStyle w:val="7"/>
            <w:tabs>
              <w:tab w:val="right" w:leader="dot" w:pos="8306"/>
            </w:tabs>
          </w:pPr>
          <w:r>
            <w:rPr>
              <w:rFonts w:hint="eastAsia" w:ascii="华文中宋" w:hAnsi="华文中宋" w:eastAsia="华文中宋" w:cs="华文中宋"/>
              <w:bCs/>
              <w:szCs w:val="36"/>
              <w:lang w:val="en-US" w:eastAsia="zh-CN"/>
            </w:rPr>
            <w:fldChar w:fldCharType="begin"/>
          </w:r>
          <w:r>
            <w:rPr>
              <w:rFonts w:hint="eastAsia" w:ascii="华文中宋" w:hAnsi="华文中宋" w:eastAsia="华文中宋" w:cs="华文中宋"/>
              <w:bCs/>
              <w:szCs w:val="36"/>
              <w:lang w:val="en-US" w:eastAsia="zh-CN"/>
            </w:rPr>
            <w:instrText xml:space="preserve"> HYPERLINK \l _Toc2693 </w:instrText>
          </w:r>
          <w:r>
            <w:rPr>
              <w:rFonts w:hint="eastAsia" w:ascii="华文中宋" w:hAnsi="华文中宋" w:eastAsia="华文中宋" w:cs="华文中宋"/>
              <w:bCs/>
              <w:szCs w:val="36"/>
              <w:lang w:val="en-US" w:eastAsia="zh-CN"/>
            </w:rPr>
            <w:fldChar w:fldCharType="separate"/>
          </w:r>
          <w:r>
            <w:rPr>
              <w:rFonts w:hint="eastAsia" w:ascii="黑体" w:hAnsi="黑体" w:eastAsia="黑体" w:cs="黑体"/>
              <w:bCs/>
              <w:szCs w:val="30"/>
              <w:lang w:val="en-US" w:eastAsia="zh-CN"/>
            </w:rPr>
            <w:t>（九） 波易达奖助学基金</w:t>
          </w:r>
          <w:r>
            <w:tab/>
          </w:r>
          <w:r>
            <w:fldChar w:fldCharType="begin"/>
          </w:r>
          <w:r>
            <w:instrText xml:space="preserve"> PAGEREF _Toc2693 </w:instrText>
          </w:r>
          <w:r>
            <w:fldChar w:fldCharType="separate"/>
          </w:r>
          <w:r>
            <w:t>24</w:t>
          </w:r>
          <w:r>
            <w:fldChar w:fldCharType="end"/>
          </w:r>
          <w:r>
            <w:rPr>
              <w:rFonts w:hint="eastAsia" w:ascii="华文中宋" w:hAnsi="华文中宋" w:eastAsia="华文中宋" w:cs="华文中宋"/>
              <w:bCs/>
              <w:szCs w:val="36"/>
              <w:lang w:val="en-US" w:eastAsia="zh-CN"/>
            </w:rPr>
            <w:fldChar w:fldCharType="end"/>
          </w:r>
        </w:p>
        <w:p>
          <w:pPr>
            <w:pStyle w:val="7"/>
            <w:tabs>
              <w:tab w:val="right" w:leader="dot" w:pos="8306"/>
            </w:tabs>
          </w:pPr>
          <w:r>
            <w:rPr>
              <w:rFonts w:hint="eastAsia" w:ascii="华文中宋" w:hAnsi="华文中宋" w:eastAsia="华文中宋" w:cs="华文中宋"/>
              <w:bCs/>
              <w:szCs w:val="36"/>
              <w:lang w:val="en-US" w:eastAsia="zh-CN"/>
            </w:rPr>
            <w:fldChar w:fldCharType="begin"/>
          </w:r>
          <w:r>
            <w:rPr>
              <w:rFonts w:hint="eastAsia" w:ascii="华文中宋" w:hAnsi="华文中宋" w:eastAsia="华文中宋" w:cs="华文中宋"/>
              <w:bCs/>
              <w:szCs w:val="36"/>
              <w:lang w:val="en-US" w:eastAsia="zh-CN"/>
            </w:rPr>
            <w:instrText xml:space="preserve"> HYPERLINK \l _Toc17048 </w:instrText>
          </w:r>
          <w:r>
            <w:rPr>
              <w:rFonts w:hint="eastAsia" w:ascii="华文中宋" w:hAnsi="华文中宋" w:eastAsia="华文中宋" w:cs="华文中宋"/>
              <w:bCs/>
              <w:szCs w:val="36"/>
              <w:lang w:val="en-US" w:eastAsia="zh-CN"/>
            </w:rPr>
            <w:fldChar w:fldCharType="separate"/>
          </w:r>
          <w:r>
            <w:rPr>
              <w:rFonts w:hint="eastAsia" w:ascii="黑体" w:hAnsi="黑体" w:eastAsia="黑体" w:cs="黑体"/>
              <w:bCs/>
              <w:szCs w:val="30"/>
              <w:lang w:val="en-US" w:eastAsia="zh-CN"/>
            </w:rPr>
            <w:t>（十） 台达奖学金</w:t>
          </w:r>
          <w:r>
            <w:tab/>
          </w:r>
          <w:r>
            <w:fldChar w:fldCharType="begin"/>
          </w:r>
          <w:r>
            <w:instrText xml:space="preserve"> PAGEREF _Toc17048 </w:instrText>
          </w:r>
          <w:r>
            <w:fldChar w:fldCharType="separate"/>
          </w:r>
          <w:r>
            <w:t>25</w:t>
          </w:r>
          <w:r>
            <w:fldChar w:fldCharType="end"/>
          </w:r>
          <w:r>
            <w:rPr>
              <w:rFonts w:hint="eastAsia" w:ascii="华文中宋" w:hAnsi="华文中宋" w:eastAsia="华文中宋" w:cs="华文中宋"/>
              <w:bCs/>
              <w:szCs w:val="36"/>
              <w:lang w:val="en-US" w:eastAsia="zh-CN"/>
            </w:rPr>
            <w:fldChar w:fldCharType="end"/>
          </w:r>
        </w:p>
        <w:p>
          <w:pPr>
            <w:pStyle w:val="7"/>
            <w:tabs>
              <w:tab w:val="right" w:leader="dot" w:pos="8306"/>
            </w:tabs>
          </w:pPr>
          <w:r>
            <w:rPr>
              <w:rFonts w:hint="eastAsia" w:ascii="华文中宋" w:hAnsi="华文中宋" w:eastAsia="华文中宋" w:cs="华文中宋"/>
              <w:bCs/>
              <w:szCs w:val="36"/>
              <w:lang w:val="en-US" w:eastAsia="zh-CN"/>
            </w:rPr>
            <w:fldChar w:fldCharType="begin"/>
          </w:r>
          <w:r>
            <w:rPr>
              <w:rFonts w:hint="eastAsia" w:ascii="华文中宋" w:hAnsi="华文中宋" w:eastAsia="华文中宋" w:cs="华文中宋"/>
              <w:bCs/>
              <w:szCs w:val="36"/>
              <w:lang w:val="en-US" w:eastAsia="zh-CN"/>
            </w:rPr>
            <w:instrText xml:space="preserve"> HYPERLINK \l _Toc16528 </w:instrText>
          </w:r>
          <w:r>
            <w:rPr>
              <w:rFonts w:hint="eastAsia" w:ascii="华文中宋" w:hAnsi="华文中宋" w:eastAsia="华文中宋" w:cs="华文中宋"/>
              <w:bCs/>
              <w:szCs w:val="36"/>
              <w:lang w:val="en-US" w:eastAsia="zh-CN"/>
            </w:rPr>
            <w:fldChar w:fldCharType="separate"/>
          </w:r>
          <w:r>
            <w:rPr>
              <w:rFonts w:hint="eastAsia" w:ascii="黑体" w:hAnsi="黑体" w:eastAsia="黑体" w:cs="黑体"/>
              <w:bCs/>
              <w:szCs w:val="30"/>
              <w:lang w:val="en-US" w:eastAsia="zh-CN"/>
            </w:rPr>
            <w:t>（十一） 华为奖学金</w:t>
          </w:r>
          <w:r>
            <w:tab/>
          </w:r>
          <w:r>
            <w:fldChar w:fldCharType="begin"/>
          </w:r>
          <w:r>
            <w:instrText xml:space="preserve"> PAGEREF _Toc16528 </w:instrText>
          </w:r>
          <w:r>
            <w:fldChar w:fldCharType="separate"/>
          </w:r>
          <w:r>
            <w:t>26</w:t>
          </w:r>
          <w:r>
            <w:fldChar w:fldCharType="end"/>
          </w:r>
          <w:r>
            <w:rPr>
              <w:rFonts w:hint="eastAsia" w:ascii="华文中宋" w:hAnsi="华文中宋" w:eastAsia="华文中宋" w:cs="华文中宋"/>
              <w:bCs/>
              <w:szCs w:val="36"/>
              <w:lang w:val="en-US" w:eastAsia="zh-CN"/>
            </w:rPr>
            <w:fldChar w:fldCharType="end"/>
          </w:r>
        </w:p>
        <w:p>
          <w:pPr>
            <w:pStyle w:val="7"/>
            <w:tabs>
              <w:tab w:val="right" w:leader="dot" w:pos="8306"/>
            </w:tabs>
          </w:pPr>
          <w:r>
            <w:rPr>
              <w:rFonts w:hint="eastAsia" w:ascii="华文中宋" w:hAnsi="华文中宋" w:eastAsia="华文中宋" w:cs="华文中宋"/>
              <w:bCs/>
              <w:szCs w:val="36"/>
              <w:lang w:val="en-US" w:eastAsia="zh-CN"/>
            </w:rPr>
            <w:fldChar w:fldCharType="begin"/>
          </w:r>
          <w:r>
            <w:rPr>
              <w:rFonts w:hint="eastAsia" w:ascii="华文中宋" w:hAnsi="华文中宋" w:eastAsia="华文中宋" w:cs="华文中宋"/>
              <w:bCs/>
              <w:szCs w:val="36"/>
              <w:lang w:val="en-US" w:eastAsia="zh-CN"/>
            </w:rPr>
            <w:instrText xml:space="preserve"> HYPERLINK \l _Toc32580 </w:instrText>
          </w:r>
          <w:r>
            <w:rPr>
              <w:rFonts w:hint="eastAsia" w:ascii="华文中宋" w:hAnsi="华文中宋" w:eastAsia="华文中宋" w:cs="华文中宋"/>
              <w:bCs/>
              <w:szCs w:val="36"/>
              <w:lang w:val="en-US" w:eastAsia="zh-CN"/>
            </w:rPr>
            <w:fldChar w:fldCharType="separate"/>
          </w:r>
          <w:r>
            <w:rPr>
              <w:rFonts w:hint="eastAsia" w:ascii="黑体" w:hAnsi="黑体" w:eastAsia="黑体" w:cs="黑体"/>
              <w:bCs/>
              <w:szCs w:val="30"/>
              <w:lang w:val="en-US" w:eastAsia="zh-CN"/>
            </w:rPr>
            <w:t>（十二） 中国港湾奖助学金</w:t>
          </w:r>
          <w:r>
            <w:tab/>
          </w:r>
          <w:r>
            <w:fldChar w:fldCharType="begin"/>
          </w:r>
          <w:r>
            <w:instrText xml:space="preserve"> PAGEREF _Toc32580 </w:instrText>
          </w:r>
          <w:r>
            <w:fldChar w:fldCharType="separate"/>
          </w:r>
          <w:r>
            <w:t>27</w:t>
          </w:r>
          <w:r>
            <w:fldChar w:fldCharType="end"/>
          </w:r>
          <w:r>
            <w:rPr>
              <w:rFonts w:hint="eastAsia" w:ascii="华文中宋" w:hAnsi="华文中宋" w:eastAsia="华文中宋" w:cs="华文中宋"/>
              <w:bCs/>
              <w:szCs w:val="36"/>
              <w:lang w:val="en-US" w:eastAsia="zh-CN"/>
            </w:rPr>
            <w:fldChar w:fldCharType="end"/>
          </w:r>
        </w:p>
        <w:p>
          <w:pPr>
            <w:pStyle w:val="7"/>
            <w:tabs>
              <w:tab w:val="right" w:leader="dot" w:pos="8306"/>
            </w:tabs>
          </w:pPr>
          <w:r>
            <w:rPr>
              <w:rFonts w:hint="eastAsia" w:ascii="华文中宋" w:hAnsi="华文中宋" w:eastAsia="华文中宋" w:cs="华文中宋"/>
              <w:bCs/>
              <w:szCs w:val="36"/>
              <w:lang w:val="en-US" w:eastAsia="zh-CN"/>
            </w:rPr>
            <w:fldChar w:fldCharType="begin"/>
          </w:r>
          <w:r>
            <w:rPr>
              <w:rFonts w:hint="eastAsia" w:ascii="华文中宋" w:hAnsi="华文中宋" w:eastAsia="华文中宋" w:cs="华文中宋"/>
              <w:bCs/>
              <w:szCs w:val="36"/>
              <w:lang w:val="en-US" w:eastAsia="zh-CN"/>
            </w:rPr>
            <w:instrText xml:space="preserve"> HYPERLINK \l _Toc22466 </w:instrText>
          </w:r>
          <w:r>
            <w:rPr>
              <w:rFonts w:hint="eastAsia" w:ascii="华文中宋" w:hAnsi="华文中宋" w:eastAsia="华文中宋" w:cs="华文中宋"/>
              <w:bCs/>
              <w:szCs w:val="36"/>
              <w:lang w:val="en-US" w:eastAsia="zh-CN"/>
            </w:rPr>
            <w:fldChar w:fldCharType="separate"/>
          </w:r>
          <w:r>
            <w:rPr>
              <w:rFonts w:hint="eastAsia" w:ascii="黑体" w:hAnsi="黑体" w:eastAsia="黑体" w:cs="黑体"/>
              <w:bCs/>
              <w:szCs w:val="30"/>
              <w:lang w:val="en-US" w:eastAsia="zh-CN"/>
            </w:rPr>
            <w:t>（十三） 杨爱芬奖学金</w:t>
          </w:r>
          <w:r>
            <w:tab/>
          </w:r>
          <w:r>
            <w:fldChar w:fldCharType="begin"/>
          </w:r>
          <w:r>
            <w:instrText xml:space="preserve"> PAGEREF _Toc22466 </w:instrText>
          </w:r>
          <w:r>
            <w:fldChar w:fldCharType="separate"/>
          </w:r>
          <w:r>
            <w:t>29</w:t>
          </w:r>
          <w:r>
            <w:fldChar w:fldCharType="end"/>
          </w:r>
          <w:r>
            <w:rPr>
              <w:rFonts w:hint="eastAsia" w:ascii="华文中宋" w:hAnsi="华文中宋" w:eastAsia="华文中宋" w:cs="华文中宋"/>
              <w:bCs/>
              <w:szCs w:val="36"/>
              <w:lang w:val="en-US" w:eastAsia="zh-CN"/>
            </w:rPr>
            <w:fldChar w:fldCharType="end"/>
          </w:r>
        </w:p>
        <w:p>
          <w:pPr>
            <w:pStyle w:val="7"/>
            <w:tabs>
              <w:tab w:val="right" w:leader="dot" w:pos="8306"/>
            </w:tabs>
          </w:pPr>
          <w:r>
            <w:rPr>
              <w:rFonts w:hint="eastAsia" w:ascii="华文中宋" w:hAnsi="华文中宋" w:eastAsia="华文中宋" w:cs="华文中宋"/>
              <w:bCs/>
              <w:szCs w:val="36"/>
              <w:lang w:val="en-US" w:eastAsia="zh-CN"/>
            </w:rPr>
            <w:fldChar w:fldCharType="begin"/>
          </w:r>
          <w:r>
            <w:rPr>
              <w:rFonts w:hint="eastAsia" w:ascii="华文中宋" w:hAnsi="华文中宋" w:eastAsia="华文中宋" w:cs="华文中宋"/>
              <w:bCs/>
              <w:szCs w:val="36"/>
              <w:lang w:val="en-US" w:eastAsia="zh-CN"/>
            </w:rPr>
            <w:instrText xml:space="preserve"> HYPERLINK \l _Toc5418 </w:instrText>
          </w:r>
          <w:r>
            <w:rPr>
              <w:rFonts w:hint="eastAsia" w:ascii="华文中宋" w:hAnsi="华文中宋" w:eastAsia="华文中宋" w:cs="华文中宋"/>
              <w:bCs/>
              <w:szCs w:val="36"/>
              <w:lang w:val="en-US" w:eastAsia="zh-CN"/>
            </w:rPr>
            <w:fldChar w:fldCharType="separate"/>
          </w:r>
          <w:r>
            <w:rPr>
              <w:rFonts w:hint="eastAsia" w:ascii="黑体" w:hAnsi="黑体" w:eastAsia="黑体" w:cs="黑体"/>
              <w:bCs/>
              <w:szCs w:val="30"/>
              <w:lang w:val="en-US" w:eastAsia="zh-CN"/>
            </w:rPr>
            <w:t>（十四） 丸和运输机关留学、助学金</w:t>
          </w:r>
          <w:r>
            <w:tab/>
          </w:r>
          <w:r>
            <w:fldChar w:fldCharType="begin"/>
          </w:r>
          <w:r>
            <w:instrText xml:space="preserve"> PAGEREF _Toc5418 </w:instrText>
          </w:r>
          <w:r>
            <w:fldChar w:fldCharType="separate"/>
          </w:r>
          <w:r>
            <w:t>31</w:t>
          </w:r>
          <w:r>
            <w:fldChar w:fldCharType="end"/>
          </w:r>
          <w:r>
            <w:rPr>
              <w:rFonts w:hint="eastAsia" w:ascii="华文中宋" w:hAnsi="华文中宋" w:eastAsia="华文中宋" w:cs="华文中宋"/>
              <w:bCs/>
              <w:szCs w:val="36"/>
              <w:lang w:val="en-US" w:eastAsia="zh-CN"/>
            </w:rPr>
            <w:fldChar w:fldCharType="end"/>
          </w:r>
        </w:p>
        <w:p>
          <w:pPr>
            <w:pStyle w:val="7"/>
            <w:tabs>
              <w:tab w:val="right" w:leader="dot" w:pos="8306"/>
            </w:tabs>
          </w:pPr>
          <w:r>
            <w:rPr>
              <w:rFonts w:hint="eastAsia" w:ascii="华文中宋" w:hAnsi="华文中宋" w:eastAsia="华文中宋" w:cs="华文中宋"/>
              <w:bCs/>
              <w:szCs w:val="36"/>
              <w:lang w:val="en-US" w:eastAsia="zh-CN"/>
            </w:rPr>
            <w:fldChar w:fldCharType="begin"/>
          </w:r>
          <w:r>
            <w:rPr>
              <w:rFonts w:hint="eastAsia" w:ascii="华文中宋" w:hAnsi="华文中宋" w:eastAsia="华文中宋" w:cs="华文中宋"/>
              <w:bCs/>
              <w:szCs w:val="36"/>
              <w:lang w:val="en-US" w:eastAsia="zh-CN"/>
            </w:rPr>
            <w:instrText xml:space="preserve"> HYPERLINK \l _Toc14903 </w:instrText>
          </w:r>
          <w:r>
            <w:rPr>
              <w:rFonts w:hint="eastAsia" w:ascii="华文中宋" w:hAnsi="华文中宋" w:eastAsia="华文中宋" w:cs="华文中宋"/>
              <w:bCs/>
              <w:szCs w:val="36"/>
              <w:lang w:val="en-US" w:eastAsia="zh-CN"/>
            </w:rPr>
            <w:fldChar w:fldCharType="separate"/>
          </w:r>
          <w:r>
            <w:rPr>
              <w:rFonts w:hint="eastAsia" w:ascii="黑体" w:hAnsi="黑体" w:eastAsia="黑体" w:cs="黑体"/>
              <w:bCs/>
              <w:szCs w:val="30"/>
              <w:lang w:val="en-US" w:eastAsia="zh-CN"/>
            </w:rPr>
            <w:t>（十五） 茅以升奖学金</w:t>
          </w:r>
          <w:r>
            <w:tab/>
          </w:r>
          <w:r>
            <w:fldChar w:fldCharType="begin"/>
          </w:r>
          <w:r>
            <w:instrText xml:space="preserve"> PAGEREF _Toc14903 </w:instrText>
          </w:r>
          <w:r>
            <w:fldChar w:fldCharType="separate"/>
          </w:r>
          <w:r>
            <w:t>31</w:t>
          </w:r>
          <w:r>
            <w:fldChar w:fldCharType="end"/>
          </w:r>
          <w:r>
            <w:rPr>
              <w:rFonts w:hint="eastAsia" w:ascii="华文中宋" w:hAnsi="华文中宋" w:eastAsia="华文中宋" w:cs="华文中宋"/>
              <w:bCs/>
              <w:szCs w:val="36"/>
              <w:lang w:val="en-US" w:eastAsia="zh-CN"/>
            </w:rPr>
            <w:fldChar w:fldCharType="end"/>
          </w:r>
        </w:p>
        <w:p>
          <w:pPr>
            <w:pStyle w:val="7"/>
            <w:tabs>
              <w:tab w:val="right" w:leader="dot" w:pos="8306"/>
            </w:tabs>
          </w:pPr>
          <w:r>
            <w:rPr>
              <w:rFonts w:hint="eastAsia" w:ascii="华文中宋" w:hAnsi="华文中宋" w:eastAsia="华文中宋" w:cs="华文中宋"/>
              <w:bCs/>
              <w:szCs w:val="36"/>
              <w:lang w:val="en-US" w:eastAsia="zh-CN"/>
            </w:rPr>
            <w:fldChar w:fldCharType="begin"/>
          </w:r>
          <w:r>
            <w:rPr>
              <w:rFonts w:hint="eastAsia" w:ascii="华文中宋" w:hAnsi="华文中宋" w:eastAsia="华文中宋" w:cs="华文中宋"/>
              <w:bCs/>
              <w:szCs w:val="36"/>
              <w:lang w:val="en-US" w:eastAsia="zh-CN"/>
            </w:rPr>
            <w:instrText xml:space="preserve"> HYPERLINK \l _Toc23923 </w:instrText>
          </w:r>
          <w:r>
            <w:rPr>
              <w:rFonts w:hint="eastAsia" w:ascii="华文中宋" w:hAnsi="华文中宋" w:eastAsia="华文中宋" w:cs="华文中宋"/>
              <w:bCs/>
              <w:szCs w:val="36"/>
              <w:lang w:val="en-US" w:eastAsia="zh-CN"/>
            </w:rPr>
            <w:fldChar w:fldCharType="separate"/>
          </w:r>
          <w:r>
            <w:rPr>
              <w:rFonts w:hint="eastAsia" w:ascii="黑体" w:hAnsi="黑体" w:eastAsia="黑体" w:cs="黑体"/>
              <w:bCs/>
              <w:szCs w:val="30"/>
              <w:lang w:val="en-US" w:eastAsia="zh-CN"/>
            </w:rPr>
            <w:t>（十六） 计算机与信息技术学院人才培养基金</w:t>
          </w:r>
          <w:r>
            <w:tab/>
          </w:r>
          <w:r>
            <w:fldChar w:fldCharType="begin"/>
          </w:r>
          <w:r>
            <w:instrText xml:space="preserve"> PAGEREF _Toc23923 </w:instrText>
          </w:r>
          <w:r>
            <w:fldChar w:fldCharType="separate"/>
          </w:r>
          <w:r>
            <w:t>32</w:t>
          </w:r>
          <w:r>
            <w:fldChar w:fldCharType="end"/>
          </w:r>
          <w:r>
            <w:rPr>
              <w:rFonts w:hint="eastAsia" w:ascii="华文中宋" w:hAnsi="华文中宋" w:eastAsia="华文中宋" w:cs="华文中宋"/>
              <w:bCs/>
              <w:szCs w:val="36"/>
              <w:lang w:val="en-US" w:eastAsia="zh-CN"/>
            </w:rPr>
            <w:fldChar w:fldCharType="end"/>
          </w:r>
        </w:p>
        <w:p>
          <w:pPr>
            <w:pStyle w:val="7"/>
            <w:tabs>
              <w:tab w:val="right" w:leader="dot" w:pos="8306"/>
            </w:tabs>
          </w:pPr>
          <w:r>
            <w:rPr>
              <w:rFonts w:hint="eastAsia" w:ascii="华文中宋" w:hAnsi="华文中宋" w:eastAsia="华文中宋" w:cs="华文中宋"/>
              <w:bCs/>
              <w:szCs w:val="36"/>
              <w:lang w:val="en-US" w:eastAsia="zh-CN"/>
            </w:rPr>
            <w:fldChar w:fldCharType="begin"/>
          </w:r>
          <w:r>
            <w:rPr>
              <w:rFonts w:hint="eastAsia" w:ascii="华文中宋" w:hAnsi="华文中宋" w:eastAsia="华文中宋" w:cs="华文中宋"/>
              <w:bCs/>
              <w:szCs w:val="36"/>
              <w:lang w:val="en-US" w:eastAsia="zh-CN"/>
            </w:rPr>
            <w:instrText xml:space="preserve"> HYPERLINK \l _Toc32266 </w:instrText>
          </w:r>
          <w:r>
            <w:rPr>
              <w:rFonts w:hint="eastAsia" w:ascii="华文中宋" w:hAnsi="华文中宋" w:eastAsia="华文中宋" w:cs="华文中宋"/>
              <w:bCs/>
              <w:szCs w:val="36"/>
              <w:lang w:val="en-US" w:eastAsia="zh-CN"/>
            </w:rPr>
            <w:fldChar w:fldCharType="separate"/>
          </w:r>
          <w:r>
            <w:rPr>
              <w:rFonts w:hint="eastAsia" w:ascii="黑体" w:hAnsi="黑体" w:eastAsia="黑体" w:cs="黑体"/>
              <w:bCs/>
              <w:szCs w:val="30"/>
              <w:lang w:val="en-US" w:eastAsia="zh-CN"/>
            </w:rPr>
            <w:t>（十七） 太原重工教育基金</w:t>
          </w:r>
          <w:r>
            <w:tab/>
          </w:r>
          <w:r>
            <w:fldChar w:fldCharType="begin"/>
          </w:r>
          <w:r>
            <w:instrText xml:space="preserve"> PAGEREF _Toc32266 </w:instrText>
          </w:r>
          <w:r>
            <w:fldChar w:fldCharType="separate"/>
          </w:r>
          <w:r>
            <w:t>33</w:t>
          </w:r>
          <w:r>
            <w:fldChar w:fldCharType="end"/>
          </w:r>
          <w:r>
            <w:rPr>
              <w:rFonts w:hint="eastAsia" w:ascii="华文中宋" w:hAnsi="华文中宋" w:eastAsia="华文中宋" w:cs="华文中宋"/>
              <w:bCs/>
              <w:szCs w:val="36"/>
              <w:lang w:val="en-US" w:eastAsia="zh-CN"/>
            </w:rPr>
            <w:fldChar w:fldCharType="end"/>
          </w:r>
        </w:p>
        <w:p>
          <w:pPr>
            <w:pStyle w:val="7"/>
            <w:tabs>
              <w:tab w:val="right" w:leader="dot" w:pos="8306"/>
            </w:tabs>
          </w:pPr>
          <w:r>
            <w:rPr>
              <w:rFonts w:hint="eastAsia" w:ascii="华文中宋" w:hAnsi="华文中宋" w:eastAsia="华文中宋" w:cs="华文中宋"/>
              <w:bCs/>
              <w:szCs w:val="36"/>
              <w:lang w:val="en-US" w:eastAsia="zh-CN"/>
            </w:rPr>
            <w:fldChar w:fldCharType="begin"/>
          </w:r>
          <w:r>
            <w:rPr>
              <w:rFonts w:hint="eastAsia" w:ascii="华文中宋" w:hAnsi="华文中宋" w:eastAsia="华文中宋" w:cs="华文中宋"/>
              <w:bCs/>
              <w:szCs w:val="36"/>
              <w:lang w:val="en-US" w:eastAsia="zh-CN"/>
            </w:rPr>
            <w:instrText xml:space="preserve"> HYPERLINK \l _Toc30994 </w:instrText>
          </w:r>
          <w:r>
            <w:rPr>
              <w:rFonts w:hint="eastAsia" w:ascii="华文中宋" w:hAnsi="华文中宋" w:eastAsia="华文中宋" w:cs="华文中宋"/>
              <w:bCs/>
              <w:szCs w:val="36"/>
              <w:lang w:val="en-US" w:eastAsia="zh-CN"/>
            </w:rPr>
            <w:fldChar w:fldCharType="separate"/>
          </w:r>
          <w:r>
            <w:rPr>
              <w:rFonts w:hint="eastAsia" w:ascii="黑体" w:hAnsi="黑体" w:eastAsia="黑体" w:cs="黑体"/>
              <w:bCs/>
              <w:szCs w:val="30"/>
              <w:lang w:val="en-US" w:eastAsia="zh-CN"/>
            </w:rPr>
            <w:t>（十八） 东方毅法学教育基金</w:t>
          </w:r>
          <w:r>
            <w:tab/>
          </w:r>
          <w:r>
            <w:fldChar w:fldCharType="begin"/>
          </w:r>
          <w:r>
            <w:instrText xml:space="preserve"> PAGEREF _Toc30994 </w:instrText>
          </w:r>
          <w:r>
            <w:fldChar w:fldCharType="separate"/>
          </w:r>
          <w:r>
            <w:t>35</w:t>
          </w:r>
          <w:r>
            <w:fldChar w:fldCharType="end"/>
          </w:r>
          <w:r>
            <w:rPr>
              <w:rFonts w:hint="eastAsia" w:ascii="华文中宋" w:hAnsi="华文中宋" w:eastAsia="华文中宋" w:cs="华文中宋"/>
              <w:bCs/>
              <w:szCs w:val="36"/>
              <w:lang w:val="en-US" w:eastAsia="zh-CN"/>
            </w:rPr>
            <w:fldChar w:fldCharType="end"/>
          </w:r>
        </w:p>
        <w:p>
          <w:pPr>
            <w:pStyle w:val="7"/>
            <w:tabs>
              <w:tab w:val="right" w:leader="dot" w:pos="8306"/>
            </w:tabs>
          </w:pPr>
          <w:r>
            <w:rPr>
              <w:rFonts w:hint="eastAsia" w:ascii="华文中宋" w:hAnsi="华文中宋" w:eastAsia="华文中宋" w:cs="华文中宋"/>
              <w:bCs/>
              <w:szCs w:val="36"/>
              <w:lang w:val="en-US" w:eastAsia="zh-CN"/>
            </w:rPr>
            <w:fldChar w:fldCharType="begin"/>
          </w:r>
          <w:r>
            <w:rPr>
              <w:rFonts w:hint="eastAsia" w:ascii="华文中宋" w:hAnsi="华文中宋" w:eastAsia="华文中宋" w:cs="华文中宋"/>
              <w:bCs/>
              <w:szCs w:val="36"/>
              <w:lang w:val="en-US" w:eastAsia="zh-CN"/>
            </w:rPr>
            <w:instrText xml:space="preserve"> HYPERLINK \l _Toc15999 </w:instrText>
          </w:r>
          <w:r>
            <w:rPr>
              <w:rFonts w:hint="eastAsia" w:ascii="华文中宋" w:hAnsi="华文中宋" w:eastAsia="华文中宋" w:cs="华文中宋"/>
              <w:bCs/>
              <w:szCs w:val="36"/>
              <w:lang w:val="en-US" w:eastAsia="zh-CN"/>
            </w:rPr>
            <w:fldChar w:fldCharType="separate"/>
          </w:r>
          <w:r>
            <w:rPr>
              <w:rFonts w:hint="eastAsia" w:ascii="黑体" w:hAnsi="黑体" w:eastAsia="黑体" w:cs="黑体"/>
              <w:bCs/>
              <w:szCs w:val="30"/>
              <w:lang w:val="en-US" w:eastAsia="zh-CN"/>
            </w:rPr>
            <w:t>（十九） 赛迪教育基金</w:t>
          </w:r>
          <w:r>
            <w:tab/>
          </w:r>
          <w:r>
            <w:fldChar w:fldCharType="begin"/>
          </w:r>
          <w:r>
            <w:instrText xml:space="preserve"> PAGEREF _Toc15999 </w:instrText>
          </w:r>
          <w:r>
            <w:fldChar w:fldCharType="separate"/>
          </w:r>
          <w:r>
            <w:t>35</w:t>
          </w:r>
          <w:r>
            <w:fldChar w:fldCharType="end"/>
          </w:r>
          <w:r>
            <w:rPr>
              <w:rFonts w:hint="eastAsia" w:ascii="华文中宋" w:hAnsi="华文中宋" w:eastAsia="华文中宋" w:cs="华文中宋"/>
              <w:bCs/>
              <w:szCs w:val="36"/>
              <w:lang w:val="en-US" w:eastAsia="zh-CN"/>
            </w:rPr>
            <w:fldChar w:fldCharType="end"/>
          </w:r>
        </w:p>
        <w:p>
          <w:pPr>
            <w:pStyle w:val="7"/>
            <w:tabs>
              <w:tab w:val="right" w:leader="dot" w:pos="8306"/>
            </w:tabs>
          </w:pPr>
          <w:r>
            <w:rPr>
              <w:rFonts w:hint="eastAsia" w:ascii="华文中宋" w:hAnsi="华文中宋" w:eastAsia="华文中宋" w:cs="华文中宋"/>
              <w:bCs/>
              <w:szCs w:val="36"/>
              <w:lang w:val="en-US" w:eastAsia="zh-CN"/>
            </w:rPr>
            <w:fldChar w:fldCharType="begin"/>
          </w:r>
          <w:r>
            <w:rPr>
              <w:rFonts w:hint="eastAsia" w:ascii="华文中宋" w:hAnsi="华文中宋" w:eastAsia="华文中宋" w:cs="华文中宋"/>
              <w:bCs/>
              <w:szCs w:val="36"/>
              <w:lang w:val="en-US" w:eastAsia="zh-CN"/>
            </w:rPr>
            <w:instrText xml:space="preserve"> HYPERLINK \l _Toc9179 </w:instrText>
          </w:r>
          <w:r>
            <w:rPr>
              <w:rFonts w:hint="eastAsia" w:ascii="华文中宋" w:hAnsi="华文中宋" w:eastAsia="华文中宋" w:cs="华文中宋"/>
              <w:bCs/>
              <w:szCs w:val="36"/>
              <w:lang w:val="en-US" w:eastAsia="zh-CN"/>
            </w:rPr>
            <w:fldChar w:fldCharType="separate"/>
          </w:r>
          <w:r>
            <w:rPr>
              <w:rFonts w:hint="eastAsia" w:ascii="黑体" w:hAnsi="黑体" w:eastAsia="黑体" w:cs="黑体"/>
              <w:bCs/>
              <w:szCs w:val="30"/>
              <w:lang w:val="en-US" w:eastAsia="zh-CN"/>
            </w:rPr>
            <w:t>（二十） 北美校友会助学金</w:t>
          </w:r>
          <w:r>
            <w:tab/>
          </w:r>
          <w:r>
            <w:fldChar w:fldCharType="begin"/>
          </w:r>
          <w:r>
            <w:instrText xml:space="preserve"> PAGEREF _Toc9179 </w:instrText>
          </w:r>
          <w:r>
            <w:fldChar w:fldCharType="separate"/>
          </w:r>
          <w:r>
            <w:t>36</w:t>
          </w:r>
          <w:r>
            <w:fldChar w:fldCharType="end"/>
          </w:r>
          <w:r>
            <w:rPr>
              <w:rFonts w:hint="eastAsia" w:ascii="华文中宋" w:hAnsi="华文中宋" w:eastAsia="华文中宋" w:cs="华文中宋"/>
              <w:bCs/>
              <w:szCs w:val="36"/>
              <w:lang w:val="en-US" w:eastAsia="zh-CN"/>
            </w:rPr>
            <w:fldChar w:fldCharType="end"/>
          </w:r>
        </w:p>
        <w:p>
          <w:pPr>
            <w:pStyle w:val="7"/>
            <w:tabs>
              <w:tab w:val="right" w:leader="dot" w:pos="8306"/>
            </w:tabs>
          </w:pPr>
          <w:r>
            <w:rPr>
              <w:rFonts w:hint="eastAsia" w:ascii="华文中宋" w:hAnsi="华文中宋" w:eastAsia="华文中宋" w:cs="华文中宋"/>
              <w:bCs/>
              <w:szCs w:val="36"/>
              <w:lang w:val="en-US" w:eastAsia="zh-CN"/>
            </w:rPr>
            <w:fldChar w:fldCharType="begin"/>
          </w:r>
          <w:r>
            <w:rPr>
              <w:rFonts w:hint="eastAsia" w:ascii="华文中宋" w:hAnsi="华文中宋" w:eastAsia="华文中宋" w:cs="华文中宋"/>
              <w:bCs/>
              <w:szCs w:val="36"/>
              <w:lang w:val="en-US" w:eastAsia="zh-CN"/>
            </w:rPr>
            <w:instrText xml:space="preserve"> HYPERLINK \l _Toc1873 </w:instrText>
          </w:r>
          <w:r>
            <w:rPr>
              <w:rFonts w:hint="eastAsia" w:ascii="华文中宋" w:hAnsi="华文中宋" w:eastAsia="华文中宋" w:cs="华文中宋"/>
              <w:bCs/>
              <w:szCs w:val="36"/>
              <w:lang w:val="en-US" w:eastAsia="zh-CN"/>
            </w:rPr>
            <w:fldChar w:fldCharType="separate"/>
          </w:r>
          <w:r>
            <w:rPr>
              <w:rFonts w:hint="eastAsia" w:ascii="黑体" w:hAnsi="黑体" w:eastAsia="黑体" w:cs="黑体"/>
              <w:bCs/>
              <w:szCs w:val="30"/>
              <w:lang w:val="en-US" w:eastAsia="zh-CN"/>
            </w:rPr>
            <w:t>（二十一） 龙图卓越奖学金</w:t>
          </w:r>
          <w:r>
            <w:tab/>
          </w:r>
          <w:r>
            <w:fldChar w:fldCharType="begin"/>
          </w:r>
          <w:r>
            <w:instrText xml:space="preserve"> PAGEREF _Toc1873 </w:instrText>
          </w:r>
          <w:r>
            <w:fldChar w:fldCharType="separate"/>
          </w:r>
          <w:r>
            <w:t>37</w:t>
          </w:r>
          <w:r>
            <w:fldChar w:fldCharType="end"/>
          </w:r>
          <w:r>
            <w:rPr>
              <w:rFonts w:hint="eastAsia" w:ascii="华文中宋" w:hAnsi="华文中宋" w:eastAsia="华文中宋" w:cs="华文中宋"/>
              <w:bCs/>
              <w:szCs w:val="36"/>
              <w:lang w:val="en-US" w:eastAsia="zh-CN"/>
            </w:rPr>
            <w:fldChar w:fldCharType="end"/>
          </w:r>
        </w:p>
        <w:p>
          <w:pPr>
            <w:pStyle w:val="7"/>
            <w:tabs>
              <w:tab w:val="right" w:leader="dot" w:pos="8306"/>
            </w:tabs>
          </w:pPr>
          <w:r>
            <w:rPr>
              <w:rFonts w:hint="eastAsia" w:ascii="华文中宋" w:hAnsi="华文中宋" w:eastAsia="华文中宋" w:cs="华文中宋"/>
              <w:bCs/>
              <w:szCs w:val="36"/>
              <w:lang w:val="en-US" w:eastAsia="zh-CN"/>
            </w:rPr>
            <w:fldChar w:fldCharType="begin"/>
          </w:r>
          <w:r>
            <w:rPr>
              <w:rFonts w:hint="eastAsia" w:ascii="华文中宋" w:hAnsi="华文中宋" w:eastAsia="华文中宋" w:cs="华文中宋"/>
              <w:bCs/>
              <w:szCs w:val="36"/>
              <w:lang w:val="en-US" w:eastAsia="zh-CN"/>
            </w:rPr>
            <w:instrText xml:space="preserve"> HYPERLINK \l _Toc17667 </w:instrText>
          </w:r>
          <w:r>
            <w:rPr>
              <w:rFonts w:hint="eastAsia" w:ascii="华文中宋" w:hAnsi="华文中宋" w:eastAsia="华文中宋" w:cs="华文中宋"/>
              <w:bCs/>
              <w:szCs w:val="36"/>
              <w:lang w:val="en-US" w:eastAsia="zh-CN"/>
            </w:rPr>
            <w:fldChar w:fldCharType="separate"/>
          </w:r>
          <w:r>
            <w:rPr>
              <w:rFonts w:hint="eastAsia" w:ascii="黑体" w:hAnsi="黑体" w:eastAsia="黑体" w:cs="黑体"/>
              <w:bCs/>
              <w:szCs w:val="30"/>
              <w:lang w:val="en-US" w:eastAsia="zh-CN"/>
            </w:rPr>
            <w:t>（二十二） 地方校友会助学金</w:t>
          </w:r>
          <w:r>
            <w:tab/>
          </w:r>
          <w:r>
            <w:fldChar w:fldCharType="begin"/>
          </w:r>
          <w:r>
            <w:instrText xml:space="preserve"> PAGEREF _Toc17667 </w:instrText>
          </w:r>
          <w:r>
            <w:fldChar w:fldCharType="separate"/>
          </w:r>
          <w:r>
            <w:t>37</w:t>
          </w:r>
          <w:r>
            <w:fldChar w:fldCharType="end"/>
          </w:r>
          <w:r>
            <w:rPr>
              <w:rFonts w:hint="eastAsia" w:ascii="华文中宋" w:hAnsi="华文中宋" w:eastAsia="华文中宋" w:cs="华文中宋"/>
              <w:bCs/>
              <w:szCs w:val="36"/>
              <w:lang w:val="en-US" w:eastAsia="zh-CN"/>
            </w:rPr>
            <w:fldChar w:fldCharType="end"/>
          </w:r>
        </w:p>
        <w:p>
          <w:pPr>
            <w:pStyle w:val="7"/>
            <w:tabs>
              <w:tab w:val="right" w:leader="dot" w:pos="8306"/>
            </w:tabs>
          </w:pPr>
          <w:r>
            <w:rPr>
              <w:rFonts w:hint="eastAsia" w:ascii="华文中宋" w:hAnsi="华文中宋" w:eastAsia="华文中宋" w:cs="华文中宋"/>
              <w:bCs/>
              <w:szCs w:val="36"/>
              <w:lang w:val="en-US" w:eastAsia="zh-CN"/>
            </w:rPr>
            <w:fldChar w:fldCharType="begin"/>
          </w:r>
          <w:r>
            <w:rPr>
              <w:rFonts w:hint="eastAsia" w:ascii="华文中宋" w:hAnsi="华文中宋" w:eastAsia="华文中宋" w:cs="华文中宋"/>
              <w:bCs/>
              <w:szCs w:val="36"/>
              <w:lang w:val="en-US" w:eastAsia="zh-CN"/>
            </w:rPr>
            <w:instrText xml:space="preserve"> HYPERLINK \l _Toc11164 </w:instrText>
          </w:r>
          <w:r>
            <w:rPr>
              <w:rFonts w:hint="eastAsia" w:ascii="华文中宋" w:hAnsi="华文中宋" w:eastAsia="华文中宋" w:cs="华文中宋"/>
              <w:bCs/>
              <w:szCs w:val="36"/>
              <w:lang w:val="en-US" w:eastAsia="zh-CN"/>
            </w:rPr>
            <w:fldChar w:fldCharType="separate"/>
          </w:r>
          <w:r>
            <w:rPr>
              <w:rFonts w:hint="eastAsia" w:ascii="黑体" w:hAnsi="黑体" w:eastAsia="黑体" w:cs="黑体"/>
              <w:bCs/>
              <w:szCs w:val="30"/>
              <w:lang w:val="en-US" w:eastAsia="zh-CN"/>
            </w:rPr>
            <w:t>（二十三） 雁行北交大助学金</w:t>
          </w:r>
          <w:r>
            <w:tab/>
          </w:r>
          <w:r>
            <w:fldChar w:fldCharType="begin"/>
          </w:r>
          <w:r>
            <w:instrText xml:space="preserve"> PAGEREF _Toc11164 </w:instrText>
          </w:r>
          <w:r>
            <w:fldChar w:fldCharType="separate"/>
          </w:r>
          <w:r>
            <w:t>38</w:t>
          </w:r>
          <w:r>
            <w:fldChar w:fldCharType="end"/>
          </w:r>
          <w:r>
            <w:rPr>
              <w:rFonts w:hint="eastAsia" w:ascii="华文中宋" w:hAnsi="华文中宋" w:eastAsia="华文中宋" w:cs="华文中宋"/>
              <w:bCs/>
              <w:szCs w:val="36"/>
              <w:lang w:val="en-US" w:eastAsia="zh-CN"/>
            </w:rPr>
            <w:fldChar w:fldCharType="end"/>
          </w:r>
        </w:p>
        <w:p>
          <w:pPr>
            <w:pStyle w:val="7"/>
            <w:tabs>
              <w:tab w:val="right" w:leader="dot" w:pos="8306"/>
            </w:tabs>
          </w:pPr>
          <w:r>
            <w:rPr>
              <w:rFonts w:hint="eastAsia" w:ascii="华文中宋" w:hAnsi="华文中宋" w:eastAsia="华文中宋" w:cs="华文中宋"/>
              <w:bCs/>
              <w:szCs w:val="36"/>
              <w:lang w:val="en-US" w:eastAsia="zh-CN"/>
            </w:rPr>
            <w:fldChar w:fldCharType="begin"/>
          </w:r>
          <w:r>
            <w:rPr>
              <w:rFonts w:hint="eastAsia" w:ascii="华文中宋" w:hAnsi="华文中宋" w:eastAsia="华文中宋" w:cs="华文中宋"/>
              <w:bCs/>
              <w:szCs w:val="36"/>
              <w:lang w:val="en-US" w:eastAsia="zh-CN"/>
            </w:rPr>
            <w:instrText xml:space="preserve"> HYPERLINK \l _Toc20722 </w:instrText>
          </w:r>
          <w:r>
            <w:rPr>
              <w:rFonts w:hint="eastAsia" w:ascii="华文中宋" w:hAnsi="华文中宋" w:eastAsia="华文中宋" w:cs="华文中宋"/>
              <w:bCs/>
              <w:szCs w:val="36"/>
              <w:lang w:val="en-US" w:eastAsia="zh-CN"/>
            </w:rPr>
            <w:fldChar w:fldCharType="separate"/>
          </w:r>
          <w:r>
            <w:rPr>
              <w:rFonts w:hint="eastAsia" w:ascii="黑体" w:hAnsi="黑体" w:eastAsia="黑体" w:cs="黑体"/>
              <w:bCs/>
              <w:szCs w:val="30"/>
              <w:lang w:val="en-US" w:eastAsia="zh-CN"/>
            </w:rPr>
            <w:t>（二十四） 交控科技教育基金</w:t>
          </w:r>
          <w:r>
            <w:tab/>
          </w:r>
          <w:r>
            <w:fldChar w:fldCharType="begin"/>
          </w:r>
          <w:r>
            <w:instrText xml:space="preserve"> PAGEREF _Toc20722 </w:instrText>
          </w:r>
          <w:r>
            <w:fldChar w:fldCharType="separate"/>
          </w:r>
          <w:r>
            <w:t>38</w:t>
          </w:r>
          <w:r>
            <w:fldChar w:fldCharType="end"/>
          </w:r>
          <w:r>
            <w:rPr>
              <w:rFonts w:hint="eastAsia" w:ascii="华文中宋" w:hAnsi="华文中宋" w:eastAsia="华文中宋" w:cs="华文中宋"/>
              <w:bCs/>
              <w:szCs w:val="36"/>
              <w:lang w:val="en-US" w:eastAsia="zh-CN"/>
            </w:rPr>
            <w:fldChar w:fldCharType="end"/>
          </w:r>
        </w:p>
        <w:p>
          <w:pPr>
            <w:pStyle w:val="7"/>
            <w:tabs>
              <w:tab w:val="right" w:leader="dot" w:pos="8306"/>
            </w:tabs>
          </w:pPr>
          <w:r>
            <w:rPr>
              <w:rFonts w:hint="eastAsia" w:ascii="华文中宋" w:hAnsi="华文中宋" w:eastAsia="华文中宋" w:cs="华文中宋"/>
              <w:bCs/>
              <w:szCs w:val="36"/>
              <w:lang w:val="en-US" w:eastAsia="zh-CN"/>
            </w:rPr>
            <w:fldChar w:fldCharType="begin"/>
          </w:r>
          <w:r>
            <w:rPr>
              <w:rFonts w:hint="eastAsia" w:ascii="华文中宋" w:hAnsi="华文中宋" w:eastAsia="华文中宋" w:cs="华文中宋"/>
              <w:bCs/>
              <w:szCs w:val="36"/>
              <w:lang w:val="en-US" w:eastAsia="zh-CN"/>
            </w:rPr>
            <w:instrText xml:space="preserve"> HYPERLINK \l _Toc27905 </w:instrText>
          </w:r>
          <w:r>
            <w:rPr>
              <w:rFonts w:hint="eastAsia" w:ascii="华文中宋" w:hAnsi="华文中宋" w:eastAsia="华文中宋" w:cs="华文中宋"/>
              <w:bCs/>
              <w:szCs w:val="36"/>
              <w:lang w:val="en-US" w:eastAsia="zh-CN"/>
            </w:rPr>
            <w:fldChar w:fldCharType="separate"/>
          </w:r>
          <w:r>
            <w:rPr>
              <w:rFonts w:hint="eastAsia" w:ascii="黑体" w:hAnsi="黑体" w:eastAsia="黑体" w:cs="黑体"/>
              <w:bCs/>
              <w:szCs w:val="30"/>
              <w:lang w:val="en-US" w:eastAsia="zh-CN"/>
            </w:rPr>
            <w:t>（二十五） 矽创助学金</w:t>
          </w:r>
          <w:r>
            <w:tab/>
          </w:r>
          <w:r>
            <w:fldChar w:fldCharType="begin"/>
          </w:r>
          <w:r>
            <w:instrText xml:space="preserve"> PAGEREF _Toc27905 </w:instrText>
          </w:r>
          <w:r>
            <w:fldChar w:fldCharType="separate"/>
          </w:r>
          <w:r>
            <w:t>39</w:t>
          </w:r>
          <w:r>
            <w:fldChar w:fldCharType="end"/>
          </w:r>
          <w:r>
            <w:rPr>
              <w:rFonts w:hint="eastAsia" w:ascii="华文中宋" w:hAnsi="华文中宋" w:eastAsia="华文中宋" w:cs="华文中宋"/>
              <w:bCs/>
              <w:szCs w:val="36"/>
              <w:lang w:val="en-US" w:eastAsia="zh-CN"/>
            </w:rPr>
            <w:fldChar w:fldCharType="end"/>
          </w:r>
        </w:p>
        <w:p>
          <w:pPr>
            <w:pStyle w:val="7"/>
            <w:tabs>
              <w:tab w:val="right" w:leader="dot" w:pos="8306"/>
            </w:tabs>
          </w:pPr>
          <w:r>
            <w:rPr>
              <w:rFonts w:hint="eastAsia" w:ascii="华文中宋" w:hAnsi="华文中宋" w:eastAsia="华文中宋" w:cs="华文中宋"/>
              <w:bCs/>
              <w:szCs w:val="36"/>
              <w:lang w:val="en-US" w:eastAsia="zh-CN"/>
            </w:rPr>
            <w:fldChar w:fldCharType="begin"/>
          </w:r>
          <w:r>
            <w:rPr>
              <w:rFonts w:hint="eastAsia" w:ascii="华文中宋" w:hAnsi="华文中宋" w:eastAsia="华文中宋" w:cs="华文中宋"/>
              <w:bCs/>
              <w:szCs w:val="36"/>
              <w:lang w:val="en-US" w:eastAsia="zh-CN"/>
            </w:rPr>
            <w:instrText xml:space="preserve"> HYPERLINK \l _Toc28237 </w:instrText>
          </w:r>
          <w:r>
            <w:rPr>
              <w:rFonts w:hint="eastAsia" w:ascii="华文中宋" w:hAnsi="华文中宋" w:eastAsia="华文中宋" w:cs="华文中宋"/>
              <w:bCs/>
              <w:szCs w:val="36"/>
              <w:lang w:val="en-US" w:eastAsia="zh-CN"/>
            </w:rPr>
            <w:fldChar w:fldCharType="separate"/>
          </w:r>
          <w:r>
            <w:rPr>
              <w:rFonts w:hint="eastAsia" w:ascii="黑体" w:hAnsi="黑体" w:eastAsia="黑体" w:cs="黑体"/>
              <w:bCs/>
              <w:szCs w:val="30"/>
              <w:lang w:val="en-US" w:eastAsia="zh-CN"/>
            </w:rPr>
            <w:t>（二十六） 法学校友奖学金</w:t>
          </w:r>
          <w:r>
            <w:tab/>
          </w:r>
          <w:r>
            <w:fldChar w:fldCharType="begin"/>
          </w:r>
          <w:r>
            <w:instrText xml:space="preserve"> PAGEREF _Toc28237 </w:instrText>
          </w:r>
          <w:r>
            <w:fldChar w:fldCharType="separate"/>
          </w:r>
          <w:r>
            <w:t>39</w:t>
          </w:r>
          <w:r>
            <w:fldChar w:fldCharType="end"/>
          </w:r>
          <w:r>
            <w:rPr>
              <w:rFonts w:hint="eastAsia" w:ascii="华文中宋" w:hAnsi="华文中宋" w:eastAsia="华文中宋" w:cs="华文中宋"/>
              <w:bCs/>
              <w:szCs w:val="36"/>
              <w:lang w:val="en-US" w:eastAsia="zh-CN"/>
            </w:rPr>
            <w:fldChar w:fldCharType="end"/>
          </w:r>
        </w:p>
        <w:p>
          <w:pPr>
            <w:pStyle w:val="7"/>
            <w:tabs>
              <w:tab w:val="right" w:leader="dot" w:pos="8306"/>
            </w:tabs>
          </w:pPr>
          <w:r>
            <w:rPr>
              <w:rFonts w:hint="eastAsia" w:ascii="华文中宋" w:hAnsi="华文中宋" w:eastAsia="华文中宋" w:cs="华文中宋"/>
              <w:bCs/>
              <w:szCs w:val="36"/>
              <w:lang w:val="en-US" w:eastAsia="zh-CN"/>
            </w:rPr>
            <w:fldChar w:fldCharType="begin"/>
          </w:r>
          <w:r>
            <w:rPr>
              <w:rFonts w:hint="eastAsia" w:ascii="华文中宋" w:hAnsi="华文中宋" w:eastAsia="华文中宋" w:cs="华文中宋"/>
              <w:bCs/>
              <w:szCs w:val="36"/>
              <w:lang w:val="en-US" w:eastAsia="zh-CN"/>
            </w:rPr>
            <w:instrText xml:space="preserve"> HYPERLINK \l _Toc15601 </w:instrText>
          </w:r>
          <w:r>
            <w:rPr>
              <w:rFonts w:hint="eastAsia" w:ascii="华文中宋" w:hAnsi="华文中宋" w:eastAsia="华文中宋" w:cs="华文中宋"/>
              <w:bCs/>
              <w:szCs w:val="36"/>
              <w:lang w:val="en-US" w:eastAsia="zh-CN"/>
            </w:rPr>
            <w:fldChar w:fldCharType="separate"/>
          </w:r>
          <w:r>
            <w:rPr>
              <w:rFonts w:hint="eastAsia" w:ascii="黑体" w:hAnsi="黑体" w:eastAsia="黑体" w:cs="黑体"/>
              <w:bCs/>
              <w:szCs w:val="30"/>
              <w:lang w:val="en-US" w:eastAsia="zh-CN"/>
            </w:rPr>
            <w:t>（二十七） 和利时奖助学金</w:t>
          </w:r>
          <w:r>
            <w:tab/>
          </w:r>
          <w:r>
            <w:fldChar w:fldCharType="begin"/>
          </w:r>
          <w:r>
            <w:instrText xml:space="preserve"> PAGEREF _Toc15601 </w:instrText>
          </w:r>
          <w:r>
            <w:fldChar w:fldCharType="separate"/>
          </w:r>
          <w:r>
            <w:t>41</w:t>
          </w:r>
          <w:r>
            <w:fldChar w:fldCharType="end"/>
          </w:r>
          <w:r>
            <w:rPr>
              <w:rFonts w:hint="eastAsia" w:ascii="华文中宋" w:hAnsi="华文中宋" w:eastAsia="华文中宋" w:cs="华文中宋"/>
              <w:bCs/>
              <w:szCs w:val="36"/>
              <w:lang w:val="en-US" w:eastAsia="zh-CN"/>
            </w:rPr>
            <w:fldChar w:fldCharType="end"/>
          </w:r>
        </w:p>
        <w:p>
          <w:pPr>
            <w:pStyle w:val="7"/>
            <w:tabs>
              <w:tab w:val="right" w:leader="dot" w:pos="8306"/>
            </w:tabs>
          </w:pPr>
          <w:r>
            <w:rPr>
              <w:rFonts w:hint="eastAsia" w:ascii="华文中宋" w:hAnsi="华文中宋" w:eastAsia="华文中宋" w:cs="华文中宋"/>
              <w:bCs/>
              <w:szCs w:val="36"/>
              <w:lang w:val="en-US" w:eastAsia="zh-CN"/>
            </w:rPr>
            <w:fldChar w:fldCharType="begin"/>
          </w:r>
          <w:r>
            <w:rPr>
              <w:rFonts w:hint="eastAsia" w:ascii="华文中宋" w:hAnsi="华文中宋" w:eastAsia="华文中宋" w:cs="华文中宋"/>
              <w:bCs/>
              <w:szCs w:val="36"/>
              <w:lang w:val="en-US" w:eastAsia="zh-CN"/>
            </w:rPr>
            <w:instrText xml:space="preserve"> HYPERLINK \l _Toc8349 </w:instrText>
          </w:r>
          <w:r>
            <w:rPr>
              <w:rFonts w:hint="eastAsia" w:ascii="华文中宋" w:hAnsi="华文中宋" w:eastAsia="华文中宋" w:cs="华文中宋"/>
              <w:bCs/>
              <w:szCs w:val="36"/>
              <w:lang w:val="en-US" w:eastAsia="zh-CN"/>
            </w:rPr>
            <w:fldChar w:fldCharType="separate"/>
          </w:r>
          <w:r>
            <w:rPr>
              <w:rFonts w:hint="eastAsia" w:ascii="黑体" w:hAnsi="黑体" w:eastAsia="黑体" w:cs="黑体"/>
              <w:bCs/>
              <w:szCs w:val="30"/>
              <w:lang w:val="en-US" w:eastAsia="zh-CN"/>
            </w:rPr>
            <w:t>（二十八） 思爱普奖学金</w:t>
          </w:r>
          <w:r>
            <w:tab/>
          </w:r>
          <w:r>
            <w:fldChar w:fldCharType="begin"/>
          </w:r>
          <w:r>
            <w:instrText xml:space="preserve"> PAGEREF _Toc8349 </w:instrText>
          </w:r>
          <w:r>
            <w:fldChar w:fldCharType="separate"/>
          </w:r>
          <w:r>
            <w:t>42</w:t>
          </w:r>
          <w:r>
            <w:fldChar w:fldCharType="end"/>
          </w:r>
          <w:r>
            <w:rPr>
              <w:rFonts w:hint="eastAsia" w:ascii="华文中宋" w:hAnsi="华文中宋" w:eastAsia="华文中宋" w:cs="华文中宋"/>
              <w:bCs/>
              <w:szCs w:val="36"/>
              <w:lang w:val="en-US" w:eastAsia="zh-CN"/>
            </w:rPr>
            <w:fldChar w:fldCharType="end"/>
          </w:r>
        </w:p>
        <w:p>
          <w:pPr>
            <w:pStyle w:val="7"/>
            <w:tabs>
              <w:tab w:val="right" w:leader="dot" w:pos="8306"/>
            </w:tabs>
          </w:pPr>
          <w:r>
            <w:rPr>
              <w:rFonts w:hint="eastAsia" w:ascii="华文中宋" w:hAnsi="华文中宋" w:eastAsia="华文中宋" w:cs="华文中宋"/>
              <w:bCs/>
              <w:szCs w:val="36"/>
              <w:lang w:val="en-US" w:eastAsia="zh-CN"/>
            </w:rPr>
            <w:fldChar w:fldCharType="begin"/>
          </w:r>
          <w:r>
            <w:rPr>
              <w:rFonts w:hint="eastAsia" w:ascii="华文中宋" w:hAnsi="华文中宋" w:eastAsia="华文中宋" w:cs="华文中宋"/>
              <w:bCs/>
              <w:szCs w:val="36"/>
              <w:lang w:val="en-US" w:eastAsia="zh-CN"/>
            </w:rPr>
            <w:instrText xml:space="preserve"> HYPERLINK \l _Toc28993 </w:instrText>
          </w:r>
          <w:r>
            <w:rPr>
              <w:rFonts w:hint="eastAsia" w:ascii="华文中宋" w:hAnsi="华文中宋" w:eastAsia="华文中宋" w:cs="华文中宋"/>
              <w:bCs/>
              <w:szCs w:val="36"/>
              <w:lang w:val="en-US" w:eastAsia="zh-CN"/>
            </w:rPr>
            <w:fldChar w:fldCharType="separate"/>
          </w:r>
          <w:r>
            <w:rPr>
              <w:rFonts w:hint="eastAsia" w:ascii="黑体" w:hAnsi="黑体" w:eastAsia="黑体" w:cs="黑体"/>
              <w:bCs/>
              <w:szCs w:val="30"/>
              <w:lang w:val="en-US" w:eastAsia="zh-CN"/>
            </w:rPr>
            <w:t>（二十九） 仁德教育基金</w:t>
          </w:r>
          <w:r>
            <w:tab/>
          </w:r>
          <w:r>
            <w:fldChar w:fldCharType="begin"/>
          </w:r>
          <w:r>
            <w:instrText xml:space="preserve"> PAGEREF _Toc28993 </w:instrText>
          </w:r>
          <w:r>
            <w:fldChar w:fldCharType="separate"/>
          </w:r>
          <w:r>
            <w:t>43</w:t>
          </w:r>
          <w:r>
            <w:fldChar w:fldCharType="end"/>
          </w:r>
          <w:r>
            <w:rPr>
              <w:rFonts w:hint="eastAsia" w:ascii="华文中宋" w:hAnsi="华文中宋" w:eastAsia="华文中宋" w:cs="华文中宋"/>
              <w:bCs/>
              <w:szCs w:val="36"/>
              <w:lang w:val="en-US" w:eastAsia="zh-CN"/>
            </w:rPr>
            <w:fldChar w:fldCharType="end"/>
          </w:r>
        </w:p>
        <w:p>
          <w:pPr>
            <w:pStyle w:val="7"/>
            <w:tabs>
              <w:tab w:val="right" w:leader="dot" w:pos="8306"/>
            </w:tabs>
          </w:pPr>
          <w:r>
            <w:rPr>
              <w:rFonts w:hint="eastAsia" w:ascii="华文中宋" w:hAnsi="华文中宋" w:eastAsia="华文中宋" w:cs="华文中宋"/>
              <w:bCs/>
              <w:szCs w:val="36"/>
              <w:lang w:val="en-US" w:eastAsia="zh-CN"/>
            </w:rPr>
            <w:fldChar w:fldCharType="begin"/>
          </w:r>
          <w:r>
            <w:rPr>
              <w:rFonts w:hint="eastAsia" w:ascii="华文中宋" w:hAnsi="华文中宋" w:eastAsia="华文中宋" w:cs="华文中宋"/>
              <w:bCs/>
              <w:szCs w:val="36"/>
              <w:lang w:val="en-US" w:eastAsia="zh-CN"/>
            </w:rPr>
            <w:instrText xml:space="preserve"> HYPERLINK \l _Toc3339 </w:instrText>
          </w:r>
          <w:r>
            <w:rPr>
              <w:rFonts w:hint="eastAsia" w:ascii="华文中宋" w:hAnsi="华文中宋" w:eastAsia="华文中宋" w:cs="华文中宋"/>
              <w:bCs/>
              <w:szCs w:val="36"/>
              <w:lang w:val="en-US" w:eastAsia="zh-CN"/>
            </w:rPr>
            <w:fldChar w:fldCharType="separate"/>
          </w:r>
          <w:r>
            <w:rPr>
              <w:rFonts w:hint="eastAsia" w:ascii="黑体" w:hAnsi="黑体" w:eastAsia="黑体" w:cs="黑体"/>
              <w:bCs/>
              <w:szCs w:val="30"/>
              <w:lang w:val="en-US" w:eastAsia="zh-CN"/>
            </w:rPr>
            <w:t>（三十） 建成奖学金</w:t>
          </w:r>
          <w:r>
            <w:tab/>
          </w:r>
          <w:r>
            <w:fldChar w:fldCharType="begin"/>
          </w:r>
          <w:r>
            <w:instrText xml:space="preserve"> PAGEREF _Toc3339 </w:instrText>
          </w:r>
          <w:r>
            <w:fldChar w:fldCharType="separate"/>
          </w:r>
          <w:r>
            <w:t>50</w:t>
          </w:r>
          <w:r>
            <w:fldChar w:fldCharType="end"/>
          </w:r>
          <w:r>
            <w:rPr>
              <w:rFonts w:hint="eastAsia" w:ascii="华文中宋" w:hAnsi="华文中宋" w:eastAsia="华文中宋" w:cs="华文中宋"/>
              <w:bCs/>
              <w:szCs w:val="36"/>
              <w:lang w:val="en-US" w:eastAsia="zh-CN"/>
            </w:rPr>
            <w:fldChar w:fldCharType="end"/>
          </w:r>
        </w:p>
        <w:p>
          <w:pPr>
            <w:pStyle w:val="7"/>
            <w:tabs>
              <w:tab w:val="right" w:leader="dot" w:pos="8306"/>
            </w:tabs>
          </w:pPr>
          <w:r>
            <w:rPr>
              <w:rFonts w:hint="eastAsia" w:ascii="华文中宋" w:hAnsi="华文中宋" w:eastAsia="华文中宋" w:cs="华文中宋"/>
              <w:bCs/>
              <w:szCs w:val="36"/>
              <w:lang w:val="en-US" w:eastAsia="zh-CN"/>
            </w:rPr>
            <w:fldChar w:fldCharType="begin"/>
          </w:r>
          <w:r>
            <w:rPr>
              <w:rFonts w:hint="eastAsia" w:ascii="华文中宋" w:hAnsi="华文中宋" w:eastAsia="华文中宋" w:cs="华文中宋"/>
              <w:bCs/>
              <w:szCs w:val="36"/>
              <w:lang w:val="en-US" w:eastAsia="zh-CN"/>
            </w:rPr>
            <w:instrText xml:space="preserve"> HYPERLINK \l _Toc20088 </w:instrText>
          </w:r>
          <w:r>
            <w:rPr>
              <w:rFonts w:hint="eastAsia" w:ascii="华文中宋" w:hAnsi="华文中宋" w:eastAsia="华文中宋" w:cs="华文中宋"/>
              <w:bCs/>
              <w:szCs w:val="36"/>
              <w:lang w:val="en-US" w:eastAsia="zh-CN"/>
            </w:rPr>
            <w:fldChar w:fldCharType="separate"/>
          </w:r>
          <w:r>
            <w:rPr>
              <w:rFonts w:hint="eastAsia" w:ascii="黑体" w:hAnsi="黑体" w:eastAsia="黑体" w:cs="黑体"/>
              <w:bCs/>
              <w:szCs w:val="30"/>
              <w:lang w:val="en-US" w:eastAsia="zh-CN"/>
            </w:rPr>
            <w:t>（三十一） 中信银行教育基金</w:t>
          </w:r>
          <w:r>
            <w:tab/>
          </w:r>
          <w:r>
            <w:fldChar w:fldCharType="begin"/>
          </w:r>
          <w:r>
            <w:instrText xml:space="preserve"> PAGEREF _Toc20088 </w:instrText>
          </w:r>
          <w:r>
            <w:fldChar w:fldCharType="separate"/>
          </w:r>
          <w:r>
            <w:t>51</w:t>
          </w:r>
          <w:r>
            <w:fldChar w:fldCharType="end"/>
          </w:r>
          <w:r>
            <w:rPr>
              <w:rFonts w:hint="eastAsia" w:ascii="华文中宋" w:hAnsi="华文中宋" w:eastAsia="华文中宋" w:cs="华文中宋"/>
              <w:bCs/>
              <w:szCs w:val="36"/>
              <w:lang w:val="en-US" w:eastAsia="zh-CN"/>
            </w:rPr>
            <w:fldChar w:fldCharType="end"/>
          </w:r>
        </w:p>
        <w:p>
          <w:pPr>
            <w:pStyle w:val="7"/>
            <w:tabs>
              <w:tab w:val="right" w:leader="dot" w:pos="8306"/>
            </w:tabs>
          </w:pPr>
          <w:r>
            <w:rPr>
              <w:rFonts w:hint="eastAsia" w:ascii="华文中宋" w:hAnsi="华文中宋" w:eastAsia="华文中宋" w:cs="华文中宋"/>
              <w:bCs/>
              <w:szCs w:val="36"/>
              <w:lang w:val="en-US" w:eastAsia="zh-CN"/>
            </w:rPr>
            <w:fldChar w:fldCharType="begin"/>
          </w:r>
          <w:r>
            <w:rPr>
              <w:rFonts w:hint="eastAsia" w:ascii="华文中宋" w:hAnsi="华文中宋" w:eastAsia="华文中宋" w:cs="华文中宋"/>
              <w:bCs/>
              <w:szCs w:val="36"/>
              <w:lang w:val="en-US" w:eastAsia="zh-CN"/>
            </w:rPr>
            <w:instrText xml:space="preserve"> HYPERLINK \l _Toc20990 </w:instrText>
          </w:r>
          <w:r>
            <w:rPr>
              <w:rFonts w:hint="eastAsia" w:ascii="华文中宋" w:hAnsi="华文中宋" w:eastAsia="华文中宋" w:cs="华文中宋"/>
              <w:bCs/>
              <w:szCs w:val="36"/>
              <w:lang w:val="en-US" w:eastAsia="zh-CN"/>
            </w:rPr>
            <w:fldChar w:fldCharType="separate"/>
          </w:r>
          <w:r>
            <w:rPr>
              <w:rFonts w:hint="eastAsia" w:ascii="黑体" w:hAnsi="黑体" w:eastAsia="黑体" w:cs="黑体"/>
              <w:bCs/>
              <w:szCs w:val="30"/>
              <w:lang w:val="en-US" w:eastAsia="zh-CN"/>
            </w:rPr>
            <w:t>（三十二） 微诺时代教育基金</w:t>
          </w:r>
          <w:r>
            <w:tab/>
          </w:r>
          <w:r>
            <w:fldChar w:fldCharType="begin"/>
          </w:r>
          <w:r>
            <w:instrText xml:space="preserve"> PAGEREF _Toc20990 </w:instrText>
          </w:r>
          <w:r>
            <w:fldChar w:fldCharType="separate"/>
          </w:r>
          <w:r>
            <w:t>52</w:t>
          </w:r>
          <w:r>
            <w:fldChar w:fldCharType="end"/>
          </w:r>
          <w:r>
            <w:rPr>
              <w:rFonts w:hint="eastAsia" w:ascii="华文中宋" w:hAnsi="华文中宋" w:eastAsia="华文中宋" w:cs="华文中宋"/>
              <w:bCs/>
              <w:szCs w:val="36"/>
              <w:lang w:val="en-US" w:eastAsia="zh-CN"/>
            </w:rPr>
            <w:fldChar w:fldCharType="end"/>
          </w:r>
        </w:p>
        <w:p>
          <w:pPr>
            <w:pStyle w:val="7"/>
            <w:tabs>
              <w:tab w:val="right" w:leader="dot" w:pos="8306"/>
            </w:tabs>
          </w:pPr>
          <w:r>
            <w:rPr>
              <w:rFonts w:hint="eastAsia" w:ascii="华文中宋" w:hAnsi="华文中宋" w:eastAsia="华文中宋" w:cs="华文中宋"/>
              <w:bCs/>
              <w:szCs w:val="36"/>
              <w:lang w:val="en-US" w:eastAsia="zh-CN"/>
            </w:rPr>
            <w:fldChar w:fldCharType="begin"/>
          </w:r>
          <w:r>
            <w:rPr>
              <w:rFonts w:hint="eastAsia" w:ascii="华文中宋" w:hAnsi="华文中宋" w:eastAsia="华文中宋" w:cs="华文中宋"/>
              <w:bCs/>
              <w:szCs w:val="36"/>
              <w:lang w:val="en-US" w:eastAsia="zh-CN"/>
            </w:rPr>
            <w:instrText xml:space="preserve"> HYPERLINK \l _Toc7543 </w:instrText>
          </w:r>
          <w:r>
            <w:rPr>
              <w:rFonts w:hint="eastAsia" w:ascii="华文中宋" w:hAnsi="华文中宋" w:eastAsia="华文中宋" w:cs="华文中宋"/>
              <w:bCs/>
              <w:szCs w:val="36"/>
              <w:lang w:val="en-US" w:eastAsia="zh-CN"/>
            </w:rPr>
            <w:fldChar w:fldCharType="separate"/>
          </w:r>
          <w:r>
            <w:rPr>
              <w:rFonts w:hint="eastAsia" w:ascii="黑体" w:hAnsi="黑体" w:eastAsia="黑体" w:cs="黑体"/>
              <w:bCs/>
              <w:szCs w:val="30"/>
              <w:lang w:val="en-US" w:eastAsia="zh-CN"/>
            </w:rPr>
            <w:t>（三十三） 智诚智达教育基金</w:t>
          </w:r>
          <w:r>
            <w:tab/>
          </w:r>
          <w:r>
            <w:fldChar w:fldCharType="begin"/>
          </w:r>
          <w:r>
            <w:instrText xml:space="preserve"> PAGEREF _Toc7543 </w:instrText>
          </w:r>
          <w:r>
            <w:fldChar w:fldCharType="separate"/>
          </w:r>
          <w:r>
            <w:t>53</w:t>
          </w:r>
          <w:r>
            <w:fldChar w:fldCharType="end"/>
          </w:r>
          <w:r>
            <w:rPr>
              <w:rFonts w:hint="eastAsia" w:ascii="华文中宋" w:hAnsi="华文中宋" w:eastAsia="华文中宋" w:cs="华文中宋"/>
              <w:bCs/>
              <w:szCs w:val="36"/>
              <w:lang w:val="en-US" w:eastAsia="zh-CN"/>
            </w:rPr>
            <w:fldChar w:fldCharType="end"/>
          </w:r>
        </w:p>
        <w:p>
          <w:pPr>
            <w:pStyle w:val="7"/>
            <w:tabs>
              <w:tab w:val="right" w:leader="dot" w:pos="8306"/>
            </w:tabs>
          </w:pPr>
          <w:r>
            <w:rPr>
              <w:rFonts w:hint="eastAsia" w:ascii="华文中宋" w:hAnsi="华文中宋" w:eastAsia="华文中宋" w:cs="华文中宋"/>
              <w:bCs/>
              <w:szCs w:val="36"/>
              <w:lang w:val="en-US" w:eastAsia="zh-CN"/>
            </w:rPr>
            <w:fldChar w:fldCharType="begin"/>
          </w:r>
          <w:r>
            <w:rPr>
              <w:rFonts w:hint="eastAsia" w:ascii="华文中宋" w:hAnsi="华文中宋" w:eastAsia="华文中宋" w:cs="华文中宋"/>
              <w:bCs/>
              <w:szCs w:val="36"/>
              <w:lang w:val="en-US" w:eastAsia="zh-CN"/>
            </w:rPr>
            <w:instrText xml:space="preserve"> HYPERLINK \l _Toc28830 </w:instrText>
          </w:r>
          <w:r>
            <w:rPr>
              <w:rFonts w:hint="eastAsia" w:ascii="华文中宋" w:hAnsi="华文中宋" w:eastAsia="华文中宋" w:cs="华文中宋"/>
              <w:bCs/>
              <w:szCs w:val="36"/>
              <w:lang w:val="en-US" w:eastAsia="zh-CN"/>
            </w:rPr>
            <w:fldChar w:fldCharType="separate"/>
          </w:r>
          <w:r>
            <w:rPr>
              <w:rFonts w:hint="eastAsia" w:ascii="黑体" w:hAnsi="黑体" w:eastAsia="黑体" w:cs="黑体"/>
              <w:bCs/>
              <w:szCs w:val="30"/>
              <w:lang w:val="en-US" w:eastAsia="zh-CN"/>
            </w:rPr>
            <w:t>（三十四） 交达教育基金</w:t>
          </w:r>
          <w:r>
            <w:tab/>
          </w:r>
          <w:r>
            <w:fldChar w:fldCharType="begin"/>
          </w:r>
          <w:r>
            <w:instrText xml:space="preserve"> PAGEREF _Toc28830 </w:instrText>
          </w:r>
          <w:r>
            <w:fldChar w:fldCharType="separate"/>
          </w:r>
          <w:r>
            <w:t>54</w:t>
          </w:r>
          <w:r>
            <w:fldChar w:fldCharType="end"/>
          </w:r>
          <w:r>
            <w:rPr>
              <w:rFonts w:hint="eastAsia" w:ascii="华文中宋" w:hAnsi="华文中宋" w:eastAsia="华文中宋" w:cs="华文中宋"/>
              <w:bCs/>
              <w:szCs w:val="36"/>
              <w:lang w:val="en-US" w:eastAsia="zh-CN"/>
            </w:rPr>
            <w:fldChar w:fldCharType="end"/>
          </w:r>
        </w:p>
        <w:p>
          <w:pPr>
            <w:pStyle w:val="7"/>
            <w:tabs>
              <w:tab w:val="right" w:leader="dot" w:pos="8306"/>
            </w:tabs>
          </w:pPr>
          <w:r>
            <w:rPr>
              <w:rFonts w:hint="eastAsia" w:ascii="华文中宋" w:hAnsi="华文中宋" w:eastAsia="华文中宋" w:cs="华文中宋"/>
              <w:bCs/>
              <w:szCs w:val="36"/>
              <w:lang w:val="en-US" w:eastAsia="zh-CN"/>
            </w:rPr>
            <w:fldChar w:fldCharType="begin"/>
          </w:r>
          <w:r>
            <w:rPr>
              <w:rFonts w:hint="eastAsia" w:ascii="华文中宋" w:hAnsi="华文中宋" w:eastAsia="华文中宋" w:cs="华文中宋"/>
              <w:bCs/>
              <w:szCs w:val="36"/>
              <w:lang w:val="en-US" w:eastAsia="zh-CN"/>
            </w:rPr>
            <w:instrText xml:space="preserve"> HYPERLINK \l _Toc28517 </w:instrText>
          </w:r>
          <w:r>
            <w:rPr>
              <w:rFonts w:hint="eastAsia" w:ascii="华文中宋" w:hAnsi="华文中宋" w:eastAsia="华文中宋" w:cs="华文中宋"/>
              <w:bCs/>
              <w:szCs w:val="36"/>
              <w:lang w:val="en-US" w:eastAsia="zh-CN"/>
            </w:rPr>
            <w:fldChar w:fldCharType="separate"/>
          </w:r>
          <w:r>
            <w:rPr>
              <w:rFonts w:hint="eastAsia" w:ascii="黑体" w:hAnsi="黑体" w:eastAsia="黑体" w:cs="黑体"/>
              <w:bCs/>
              <w:szCs w:val="30"/>
              <w:lang w:val="en-US" w:eastAsia="zh-CN"/>
            </w:rPr>
            <w:t>（三十五） 思源时代创新研究基金</w:t>
          </w:r>
          <w:r>
            <w:tab/>
          </w:r>
          <w:r>
            <w:fldChar w:fldCharType="begin"/>
          </w:r>
          <w:r>
            <w:instrText xml:space="preserve"> PAGEREF _Toc28517 </w:instrText>
          </w:r>
          <w:r>
            <w:fldChar w:fldCharType="separate"/>
          </w:r>
          <w:r>
            <w:t>55</w:t>
          </w:r>
          <w:r>
            <w:fldChar w:fldCharType="end"/>
          </w:r>
          <w:r>
            <w:rPr>
              <w:rFonts w:hint="eastAsia" w:ascii="华文中宋" w:hAnsi="华文中宋" w:eastAsia="华文中宋" w:cs="华文中宋"/>
              <w:bCs/>
              <w:szCs w:val="36"/>
              <w:lang w:val="en-US" w:eastAsia="zh-CN"/>
            </w:rPr>
            <w:fldChar w:fldCharType="end"/>
          </w:r>
        </w:p>
        <w:p>
          <w:pPr>
            <w:pStyle w:val="7"/>
            <w:tabs>
              <w:tab w:val="right" w:leader="dot" w:pos="8306"/>
            </w:tabs>
          </w:pPr>
          <w:r>
            <w:rPr>
              <w:rFonts w:hint="eastAsia" w:ascii="华文中宋" w:hAnsi="华文中宋" w:eastAsia="华文中宋" w:cs="华文中宋"/>
              <w:bCs/>
              <w:szCs w:val="36"/>
              <w:lang w:val="en-US" w:eastAsia="zh-CN"/>
            </w:rPr>
            <w:fldChar w:fldCharType="begin"/>
          </w:r>
          <w:r>
            <w:rPr>
              <w:rFonts w:hint="eastAsia" w:ascii="华文中宋" w:hAnsi="华文中宋" w:eastAsia="华文中宋" w:cs="华文中宋"/>
              <w:bCs/>
              <w:szCs w:val="36"/>
              <w:lang w:val="en-US" w:eastAsia="zh-CN"/>
            </w:rPr>
            <w:instrText xml:space="preserve"> HYPERLINK \l _Toc32653 </w:instrText>
          </w:r>
          <w:r>
            <w:rPr>
              <w:rFonts w:hint="eastAsia" w:ascii="华文中宋" w:hAnsi="华文中宋" w:eastAsia="华文中宋" w:cs="华文中宋"/>
              <w:bCs/>
              <w:szCs w:val="36"/>
              <w:lang w:val="en-US" w:eastAsia="zh-CN"/>
            </w:rPr>
            <w:fldChar w:fldCharType="separate"/>
          </w:r>
          <w:r>
            <w:rPr>
              <w:rFonts w:hint="eastAsia" w:ascii="黑体" w:hAnsi="黑体" w:eastAsia="黑体" w:cs="黑体"/>
              <w:bCs/>
              <w:szCs w:val="30"/>
              <w:lang w:val="en-US" w:eastAsia="zh-CN"/>
            </w:rPr>
            <w:t>（三十六） 金融分会专项奖学金</w:t>
          </w:r>
          <w:r>
            <w:tab/>
          </w:r>
          <w:r>
            <w:fldChar w:fldCharType="begin"/>
          </w:r>
          <w:r>
            <w:instrText xml:space="preserve"> PAGEREF _Toc32653 </w:instrText>
          </w:r>
          <w:r>
            <w:fldChar w:fldCharType="separate"/>
          </w:r>
          <w:r>
            <w:t>55</w:t>
          </w:r>
          <w:r>
            <w:fldChar w:fldCharType="end"/>
          </w:r>
          <w:r>
            <w:rPr>
              <w:rFonts w:hint="eastAsia" w:ascii="华文中宋" w:hAnsi="华文中宋" w:eastAsia="华文中宋" w:cs="华文中宋"/>
              <w:bCs/>
              <w:szCs w:val="36"/>
              <w:lang w:val="en-US" w:eastAsia="zh-CN"/>
            </w:rPr>
            <w:fldChar w:fldCharType="end"/>
          </w:r>
        </w:p>
        <w:p>
          <w:pPr>
            <w:pStyle w:val="7"/>
            <w:tabs>
              <w:tab w:val="right" w:leader="dot" w:pos="8306"/>
            </w:tabs>
          </w:pPr>
          <w:r>
            <w:rPr>
              <w:rFonts w:hint="eastAsia" w:ascii="华文中宋" w:hAnsi="华文中宋" w:eastAsia="华文中宋" w:cs="华文中宋"/>
              <w:bCs/>
              <w:szCs w:val="36"/>
              <w:lang w:val="en-US" w:eastAsia="zh-CN"/>
            </w:rPr>
            <w:fldChar w:fldCharType="begin"/>
          </w:r>
          <w:r>
            <w:rPr>
              <w:rFonts w:hint="eastAsia" w:ascii="华文中宋" w:hAnsi="华文中宋" w:eastAsia="华文中宋" w:cs="华文中宋"/>
              <w:bCs/>
              <w:szCs w:val="36"/>
              <w:lang w:val="en-US" w:eastAsia="zh-CN"/>
            </w:rPr>
            <w:instrText xml:space="preserve"> HYPERLINK \l _Toc2571 </w:instrText>
          </w:r>
          <w:r>
            <w:rPr>
              <w:rFonts w:hint="eastAsia" w:ascii="华文中宋" w:hAnsi="华文中宋" w:eastAsia="华文中宋" w:cs="华文中宋"/>
              <w:bCs/>
              <w:szCs w:val="36"/>
              <w:lang w:val="en-US" w:eastAsia="zh-CN"/>
            </w:rPr>
            <w:fldChar w:fldCharType="separate"/>
          </w:r>
          <w:r>
            <w:rPr>
              <w:rFonts w:hint="eastAsia" w:ascii="黑体" w:hAnsi="黑体" w:eastAsia="黑体" w:cs="黑体"/>
              <w:bCs/>
              <w:szCs w:val="30"/>
              <w:lang w:val="en-US" w:eastAsia="zh-CN"/>
            </w:rPr>
            <w:t>（三十七） 金城教育基金奖学金</w:t>
          </w:r>
          <w:r>
            <w:tab/>
          </w:r>
          <w:r>
            <w:fldChar w:fldCharType="begin"/>
          </w:r>
          <w:r>
            <w:instrText xml:space="preserve"> PAGEREF _Toc2571 </w:instrText>
          </w:r>
          <w:r>
            <w:fldChar w:fldCharType="separate"/>
          </w:r>
          <w:r>
            <w:t>55</w:t>
          </w:r>
          <w:r>
            <w:fldChar w:fldCharType="end"/>
          </w:r>
          <w:r>
            <w:rPr>
              <w:rFonts w:hint="eastAsia" w:ascii="华文中宋" w:hAnsi="华文中宋" w:eastAsia="华文中宋" w:cs="华文中宋"/>
              <w:bCs/>
              <w:szCs w:val="36"/>
              <w:lang w:val="en-US" w:eastAsia="zh-CN"/>
            </w:rPr>
            <w:fldChar w:fldCharType="end"/>
          </w:r>
        </w:p>
        <w:p>
          <w:pPr>
            <w:pStyle w:val="7"/>
            <w:tabs>
              <w:tab w:val="right" w:leader="dot" w:pos="8306"/>
            </w:tabs>
          </w:pPr>
          <w:r>
            <w:rPr>
              <w:rFonts w:hint="eastAsia" w:ascii="华文中宋" w:hAnsi="华文中宋" w:eastAsia="华文中宋" w:cs="华文中宋"/>
              <w:bCs/>
              <w:szCs w:val="36"/>
              <w:lang w:val="en-US" w:eastAsia="zh-CN"/>
            </w:rPr>
            <w:fldChar w:fldCharType="begin"/>
          </w:r>
          <w:r>
            <w:rPr>
              <w:rFonts w:hint="eastAsia" w:ascii="华文中宋" w:hAnsi="华文中宋" w:eastAsia="华文中宋" w:cs="华文中宋"/>
              <w:bCs/>
              <w:szCs w:val="36"/>
              <w:lang w:val="en-US" w:eastAsia="zh-CN"/>
            </w:rPr>
            <w:instrText xml:space="preserve"> HYPERLINK \l _Toc22618 </w:instrText>
          </w:r>
          <w:r>
            <w:rPr>
              <w:rFonts w:hint="eastAsia" w:ascii="华文中宋" w:hAnsi="华文中宋" w:eastAsia="华文中宋" w:cs="华文中宋"/>
              <w:bCs/>
              <w:szCs w:val="36"/>
              <w:lang w:val="en-US" w:eastAsia="zh-CN"/>
            </w:rPr>
            <w:fldChar w:fldCharType="separate"/>
          </w:r>
          <w:r>
            <w:rPr>
              <w:rFonts w:hint="eastAsia" w:ascii="黑体" w:hAnsi="黑体" w:eastAsia="黑体" w:cs="黑体"/>
              <w:bCs/>
              <w:szCs w:val="30"/>
              <w:lang w:val="en-US" w:eastAsia="zh-CN"/>
            </w:rPr>
            <w:t>（三十八） 理学院创新实践与培养奖学金</w:t>
          </w:r>
          <w:r>
            <w:tab/>
          </w:r>
          <w:r>
            <w:fldChar w:fldCharType="begin"/>
          </w:r>
          <w:r>
            <w:instrText xml:space="preserve"> PAGEREF _Toc22618 </w:instrText>
          </w:r>
          <w:r>
            <w:fldChar w:fldCharType="separate"/>
          </w:r>
          <w:r>
            <w:t>56</w:t>
          </w:r>
          <w:r>
            <w:fldChar w:fldCharType="end"/>
          </w:r>
          <w:r>
            <w:rPr>
              <w:rFonts w:hint="eastAsia" w:ascii="华文中宋" w:hAnsi="华文中宋" w:eastAsia="华文中宋" w:cs="华文中宋"/>
              <w:bCs/>
              <w:szCs w:val="36"/>
              <w:lang w:val="en-US" w:eastAsia="zh-CN"/>
            </w:rPr>
            <w:fldChar w:fldCharType="end"/>
          </w:r>
        </w:p>
        <w:p>
          <w:pPr>
            <w:pStyle w:val="7"/>
            <w:tabs>
              <w:tab w:val="right" w:leader="dot" w:pos="8306"/>
            </w:tabs>
          </w:pPr>
          <w:r>
            <w:rPr>
              <w:rFonts w:hint="eastAsia" w:ascii="华文中宋" w:hAnsi="华文中宋" w:eastAsia="华文中宋" w:cs="华文中宋"/>
              <w:bCs/>
              <w:szCs w:val="36"/>
              <w:lang w:val="en-US" w:eastAsia="zh-CN"/>
            </w:rPr>
            <w:fldChar w:fldCharType="begin"/>
          </w:r>
          <w:r>
            <w:rPr>
              <w:rFonts w:hint="eastAsia" w:ascii="华文中宋" w:hAnsi="华文中宋" w:eastAsia="华文中宋" w:cs="华文中宋"/>
              <w:bCs/>
              <w:szCs w:val="36"/>
              <w:lang w:val="en-US" w:eastAsia="zh-CN"/>
            </w:rPr>
            <w:instrText xml:space="preserve"> HYPERLINK \l _Toc2054 </w:instrText>
          </w:r>
          <w:r>
            <w:rPr>
              <w:rFonts w:hint="eastAsia" w:ascii="华文中宋" w:hAnsi="华文中宋" w:eastAsia="华文中宋" w:cs="华文中宋"/>
              <w:bCs/>
              <w:szCs w:val="36"/>
              <w:lang w:val="en-US" w:eastAsia="zh-CN"/>
            </w:rPr>
            <w:fldChar w:fldCharType="separate"/>
          </w:r>
          <w:r>
            <w:rPr>
              <w:rFonts w:hint="eastAsia" w:ascii="黑体" w:hAnsi="黑体" w:eastAsia="黑体" w:cs="黑体"/>
              <w:bCs/>
              <w:szCs w:val="30"/>
              <w:lang w:val="en-US" w:eastAsia="zh-CN"/>
            </w:rPr>
            <w:t>（三十九） 微联素质奖学金</w:t>
          </w:r>
          <w:r>
            <w:tab/>
          </w:r>
          <w:r>
            <w:fldChar w:fldCharType="begin"/>
          </w:r>
          <w:r>
            <w:instrText xml:space="preserve"> PAGEREF _Toc2054 </w:instrText>
          </w:r>
          <w:r>
            <w:fldChar w:fldCharType="separate"/>
          </w:r>
          <w:r>
            <w:t>57</w:t>
          </w:r>
          <w:r>
            <w:fldChar w:fldCharType="end"/>
          </w:r>
          <w:r>
            <w:rPr>
              <w:rFonts w:hint="eastAsia" w:ascii="华文中宋" w:hAnsi="华文中宋" w:eastAsia="华文中宋" w:cs="华文中宋"/>
              <w:bCs/>
              <w:szCs w:val="36"/>
              <w:lang w:val="en-US" w:eastAsia="zh-CN"/>
            </w:rPr>
            <w:fldChar w:fldCharType="end"/>
          </w:r>
        </w:p>
        <w:p>
          <w:pPr>
            <w:pStyle w:val="7"/>
            <w:tabs>
              <w:tab w:val="right" w:leader="dot" w:pos="8306"/>
            </w:tabs>
          </w:pPr>
          <w:r>
            <w:rPr>
              <w:rFonts w:hint="eastAsia" w:ascii="华文中宋" w:hAnsi="华文中宋" w:eastAsia="华文中宋" w:cs="华文中宋"/>
              <w:bCs/>
              <w:szCs w:val="36"/>
              <w:lang w:val="en-US" w:eastAsia="zh-CN"/>
            </w:rPr>
            <w:fldChar w:fldCharType="begin"/>
          </w:r>
          <w:r>
            <w:rPr>
              <w:rFonts w:hint="eastAsia" w:ascii="华文中宋" w:hAnsi="华文中宋" w:eastAsia="华文中宋" w:cs="华文中宋"/>
              <w:bCs/>
              <w:szCs w:val="36"/>
              <w:lang w:val="en-US" w:eastAsia="zh-CN"/>
            </w:rPr>
            <w:instrText xml:space="preserve"> HYPERLINK \l _Toc15723 </w:instrText>
          </w:r>
          <w:r>
            <w:rPr>
              <w:rFonts w:hint="eastAsia" w:ascii="华文中宋" w:hAnsi="华文中宋" w:eastAsia="华文中宋" w:cs="华文中宋"/>
              <w:bCs/>
              <w:szCs w:val="36"/>
              <w:lang w:val="en-US" w:eastAsia="zh-CN"/>
            </w:rPr>
            <w:fldChar w:fldCharType="separate"/>
          </w:r>
          <w:r>
            <w:rPr>
              <w:rFonts w:hint="eastAsia" w:ascii="黑体" w:hAnsi="黑体" w:eastAsia="黑体" w:cs="黑体"/>
              <w:bCs/>
              <w:szCs w:val="30"/>
              <w:lang w:val="en-US" w:eastAsia="zh-CN"/>
            </w:rPr>
            <w:t>（四十） 睿智奖助学金</w:t>
          </w:r>
          <w:r>
            <w:tab/>
          </w:r>
          <w:r>
            <w:fldChar w:fldCharType="begin"/>
          </w:r>
          <w:r>
            <w:instrText xml:space="preserve"> PAGEREF _Toc15723 </w:instrText>
          </w:r>
          <w:r>
            <w:fldChar w:fldCharType="separate"/>
          </w:r>
          <w:r>
            <w:t>57</w:t>
          </w:r>
          <w:r>
            <w:fldChar w:fldCharType="end"/>
          </w:r>
          <w:r>
            <w:rPr>
              <w:rFonts w:hint="eastAsia" w:ascii="华文中宋" w:hAnsi="华文中宋" w:eastAsia="华文中宋" w:cs="华文中宋"/>
              <w:bCs/>
              <w:szCs w:val="36"/>
              <w:lang w:val="en-US" w:eastAsia="zh-CN"/>
            </w:rPr>
            <w:fldChar w:fldCharType="end"/>
          </w:r>
        </w:p>
        <w:p>
          <w:pPr>
            <w:pStyle w:val="7"/>
            <w:tabs>
              <w:tab w:val="right" w:leader="dot" w:pos="8306"/>
            </w:tabs>
          </w:pPr>
          <w:r>
            <w:rPr>
              <w:rFonts w:hint="eastAsia" w:ascii="华文中宋" w:hAnsi="华文中宋" w:eastAsia="华文中宋" w:cs="华文中宋"/>
              <w:bCs/>
              <w:szCs w:val="36"/>
              <w:lang w:val="en-US" w:eastAsia="zh-CN"/>
            </w:rPr>
            <w:fldChar w:fldCharType="begin"/>
          </w:r>
          <w:r>
            <w:rPr>
              <w:rFonts w:hint="eastAsia" w:ascii="华文中宋" w:hAnsi="华文中宋" w:eastAsia="华文中宋" w:cs="华文中宋"/>
              <w:bCs/>
              <w:szCs w:val="36"/>
              <w:lang w:val="en-US" w:eastAsia="zh-CN"/>
            </w:rPr>
            <w:instrText xml:space="preserve"> HYPERLINK \l _Toc21359 </w:instrText>
          </w:r>
          <w:r>
            <w:rPr>
              <w:rFonts w:hint="eastAsia" w:ascii="华文中宋" w:hAnsi="华文中宋" w:eastAsia="华文中宋" w:cs="华文中宋"/>
              <w:bCs/>
              <w:szCs w:val="36"/>
              <w:lang w:val="en-US" w:eastAsia="zh-CN"/>
            </w:rPr>
            <w:fldChar w:fldCharType="separate"/>
          </w:r>
          <w:r>
            <w:rPr>
              <w:rFonts w:hint="eastAsia" w:ascii="黑体" w:hAnsi="黑体" w:eastAsia="黑体" w:cs="黑体"/>
              <w:bCs/>
              <w:szCs w:val="30"/>
              <w:lang w:val="en-US" w:eastAsia="zh-CN"/>
            </w:rPr>
            <w:t>（四十一） 照坤奖学金</w:t>
          </w:r>
          <w:r>
            <w:tab/>
          </w:r>
          <w:r>
            <w:fldChar w:fldCharType="begin"/>
          </w:r>
          <w:r>
            <w:instrText xml:space="preserve"> PAGEREF _Toc21359 </w:instrText>
          </w:r>
          <w:r>
            <w:fldChar w:fldCharType="separate"/>
          </w:r>
          <w:r>
            <w:t>58</w:t>
          </w:r>
          <w:r>
            <w:fldChar w:fldCharType="end"/>
          </w:r>
          <w:r>
            <w:rPr>
              <w:rFonts w:hint="eastAsia" w:ascii="华文中宋" w:hAnsi="华文中宋" w:eastAsia="华文中宋" w:cs="华文中宋"/>
              <w:bCs/>
              <w:szCs w:val="36"/>
              <w:lang w:val="en-US" w:eastAsia="zh-CN"/>
            </w:rPr>
            <w:fldChar w:fldCharType="end"/>
          </w:r>
        </w:p>
        <w:p>
          <w:pPr>
            <w:pStyle w:val="7"/>
            <w:tabs>
              <w:tab w:val="right" w:leader="dot" w:pos="8306"/>
            </w:tabs>
          </w:pPr>
          <w:r>
            <w:rPr>
              <w:rFonts w:hint="eastAsia" w:ascii="华文中宋" w:hAnsi="华文中宋" w:eastAsia="华文中宋" w:cs="华文中宋"/>
              <w:bCs/>
              <w:szCs w:val="36"/>
              <w:lang w:val="en-US" w:eastAsia="zh-CN"/>
            </w:rPr>
            <w:fldChar w:fldCharType="begin"/>
          </w:r>
          <w:r>
            <w:rPr>
              <w:rFonts w:hint="eastAsia" w:ascii="华文中宋" w:hAnsi="华文中宋" w:eastAsia="华文中宋" w:cs="华文中宋"/>
              <w:bCs/>
              <w:szCs w:val="36"/>
              <w:lang w:val="en-US" w:eastAsia="zh-CN"/>
            </w:rPr>
            <w:instrText xml:space="preserve"> HYPERLINK \l _Toc9342 </w:instrText>
          </w:r>
          <w:r>
            <w:rPr>
              <w:rFonts w:hint="eastAsia" w:ascii="华文中宋" w:hAnsi="华文中宋" w:eastAsia="华文中宋" w:cs="华文中宋"/>
              <w:bCs/>
              <w:szCs w:val="36"/>
              <w:lang w:val="en-US" w:eastAsia="zh-CN"/>
            </w:rPr>
            <w:fldChar w:fldCharType="separate"/>
          </w:r>
          <w:r>
            <w:rPr>
              <w:rFonts w:hint="eastAsia" w:ascii="黑体" w:hAnsi="黑体" w:eastAsia="黑体" w:cs="黑体"/>
              <w:bCs/>
              <w:szCs w:val="30"/>
              <w:lang w:val="en-US" w:eastAsia="zh-CN"/>
            </w:rPr>
            <w:t>（四十二） 信科久久学长奖学金</w:t>
          </w:r>
          <w:r>
            <w:tab/>
          </w:r>
          <w:r>
            <w:fldChar w:fldCharType="begin"/>
          </w:r>
          <w:r>
            <w:instrText xml:space="preserve"> PAGEREF _Toc9342 </w:instrText>
          </w:r>
          <w:r>
            <w:fldChar w:fldCharType="separate"/>
          </w:r>
          <w:r>
            <w:t>61</w:t>
          </w:r>
          <w:r>
            <w:fldChar w:fldCharType="end"/>
          </w:r>
          <w:r>
            <w:rPr>
              <w:rFonts w:hint="eastAsia" w:ascii="华文中宋" w:hAnsi="华文中宋" w:eastAsia="华文中宋" w:cs="华文中宋"/>
              <w:bCs/>
              <w:szCs w:val="36"/>
              <w:lang w:val="en-US" w:eastAsia="zh-CN"/>
            </w:rPr>
            <w:fldChar w:fldCharType="end"/>
          </w:r>
        </w:p>
        <w:p>
          <w:pPr>
            <w:pStyle w:val="7"/>
            <w:tabs>
              <w:tab w:val="right" w:leader="dot" w:pos="8306"/>
            </w:tabs>
          </w:pPr>
          <w:r>
            <w:rPr>
              <w:rFonts w:hint="eastAsia" w:ascii="华文中宋" w:hAnsi="华文中宋" w:eastAsia="华文中宋" w:cs="华文中宋"/>
              <w:bCs/>
              <w:szCs w:val="36"/>
              <w:lang w:val="en-US" w:eastAsia="zh-CN"/>
            </w:rPr>
            <w:fldChar w:fldCharType="begin"/>
          </w:r>
          <w:r>
            <w:rPr>
              <w:rFonts w:hint="eastAsia" w:ascii="华文中宋" w:hAnsi="华文中宋" w:eastAsia="华文中宋" w:cs="华文中宋"/>
              <w:bCs/>
              <w:szCs w:val="36"/>
              <w:lang w:val="en-US" w:eastAsia="zh-CN"/>
            </w:rPr>
            <w:instrText xml:space="preserve"> HYPERLINK \l _Toc5870 </w:instrText>
          </w:r>
          <w:r>
            <w:rPr>
              <w:rFonts w:hint="eastAsia" w:ascii="华文中宋" w:hAnsi="华文中宋" w:eastAsia="华文中宋" w:cs="华文中宋"/>
              <w:bCs/>
              <w:szCs w:val="36"/>
              <w:lang w:val="en-US" w:eastAsia="zh-CN"/>
            </w:rPr>
            <w:fldChar w:fldCharType="separate"/>
          </w:r>
          <w:r>
            <w:rPr>
              <w:rFonts w:hint="eastAsia" w:ascii="黑体" w:hAnsi="黑体" w:eastAsia="黑体" w:cs="黑体"/>
              <w:bCs/>
              <w:szCs w:val="30"/>
              <w:lang w:val="en-US" w:eastAsia="zh-CN"/>
            </w:rPr>
            <w:t>（四十三） 中地行奖学金</w:t>
          </w:r>
          <w:r>
            <w:tab/>
          </w:r>
          <w:r>
            <w:fldChar w:fldCharType="begin"/>
          </w:r>
          <w:r>
            <w:instrText xml:space="preserve"> PAGEREF _Toc5870 </w:instrText>
          </w:r>
          <w:r>
            <w:fldChar w:fldCharType="separate"/>
          </w:r>
          <w:r>
            <w:t>62</w:t>
          </w:r>
          <w:r>
            <w:fldChar w:fldCharType="end"/>
          </w:r>
          <w:r>
            <w:rPr>
              <w:rFonts w:hint="eastAsia" w:ascii="华文中宋" w:hAnsi="华文中宋" w:eastAsia="华文中宋" w:cs="华文中宋"/>
              <w:bCs/>
              <w:szCs w:val="36"/>
              <w:lang w:val="en-US" w:eastAsia="zh-CN"/>
            </w:rPr>
            <w:fldChar w:fldCharType="end"/>
          </w:r>
        </w:p>
        <w:p>
          <w:pPr>
            <w:pStyle w:val="7"/>
            <w:tabs>
              <w:tab w:val="right" w:leader="dot" w:pos="8306"/>
            </w:tabs>
          </w:pPr>
          <w:r>
            <w:rPr>
              <w:rFonts w:hint="eastAsia" w:ascii="华文中宋" w:hAnsi="华文中宋" w:eastAsia="华文中宋" w:cs="华文中宋"/>
              <w:bCs/>
              <w:szCs w:val="36"/>
              <w:lang w:val="en-US" w:eastAsia="zh-CN"/>
            </w:rPr>
            <w:fldChar w:fldCharType="begin"/>
          </w:r>
          <w:r>
            <w:rPr>
              <w:rFonts w:hint="eastAsia" w:ascii="华文中宋" w:hAnsi="华文中宋" w:eastAsia="华文中宋" w:cs="华文中宋"/>
              <w:bCs/>
              <w:szCs w:val="36"/>
              <w:lang w:val="en-US" w:eastAsia="zh-CN"/>
            </w:rPr>
            <w:instrText xml:space="preserve"> HYPERLINK \l _Toc29171 </w:instrText>
          </w:r>
          <w:r>
            <w:rPr>
              <w:rFonts w:hint="eastAsia" w:ascii="华文中宋" w:hAnsi="华文中宋" w:eastAsia="华文中宋" w:cs="华文中宋"/>
              <w:bCs/>
              <w:szCs w:val="36"/>
              <w:lang w:val="en-US" w:eastAsia="zh-CN"/>
            </w:rPr>
            <w:fldChar w:fldCharType="separate"/>
          </w:r>
          <w:r>
            <w:rPr>
              <w:rFonts w:hint="eastAsia" w:ascii="黑体" w:hAnsi="黑体" w:eastAsia="黑体" w:cs="黑体"/>
              <w:bCs/>
              <w:szCs w:val="30"/>
              <w:lang w:val="en-US" w:eastAsia="zh-CN"/>
            </w:rPr>
            <w:t>（四十四） 尖峰奖学金</w:t>
          </w:r>
          <w:r>
            <w:tab/>
          </w:r>
          <w:r>
            <w:fldChar w:fldCharType="begin"/>
          </w:r>
          <w:r>
            <w:instrText xml:space="preserve"> PAGEREF _Toc29171 </w:instrText>
          </w:r>
          <w:r>
            <w:fldChar w:fldCharType="separate"/>
          </w:r>
          <w:r>
            <w:t>62</w:t>
          </w:r>
          <w:r>
            <w:fldChar w:fldCharType="end"/>
          </w:r>
          <w:r>
            <w:rPr>
              <w:rFonts w:hint="eastAsia" w:ascii="华文中宋" w:hAnsi="华文中宋" w:eastAsia="华文中宋" w:cs="华文中宋"/>
              <w:bCs/>
              <w:szCs w:val="36"/>
              <w:lang w:val="en-US" w:eastAsia="zh-CN"/>
            </w:rPr>
            <w:fldChar w:fldCharType="end"/>
          </w:r>
        </w:p>
        <w:p>
          <w:pPr>
            <w:pStyle w:val="7"/>
            <w:tabs>
              <w:tab w:val="right" w:leader="dot" w:pos="8306"/>
            </w:tabs>
          </w:pPr>
          <w:r>
            <w:rPr>
              <w:rFonts w:hint="eastAsia" w:ascii="华文中宋" w:hAnsi="华文中宋" w:eastAsia="华文中宋" w:cs="华文中宋"/>
              <w:bCs/>
              <w:szCs w:val="36"/>
              <w:lang w:val="en-US" w:eastAsia="zh-CN"/>
            </w:rPr>
            <w:fldChar w:fldCharType="begin"/>
          </w:r>
          <w:r>
            <w:rPr>
              <w:rFonts w:hint="eastAsia" w:ascii="华文中宋" w:hAnsi="华文中宋" w:eastAsia="华文中宋" w:cs="华文中宋"/>
              <w:bCs/>
              <w:szCs w:val="36"/>
              <w:lang w:val="en-US" w:eastAsia="zh-CN"/>
            </w:rPr>
            <w:instrText xml:space="preserve"> HYPERLINK \l _Toc24668 </w:instrText>
          </w:r>
          <w:r>
            <w:rPr>
              <w:rFonts w:hint="eastAsia" w:ascii="华文中宋" w:hAnsi="华文中宋" w:eastAsia="华文中宋" w:cs="华文中宋"/>
              <w:bCs/>
              <w:szCs w:val="36"/>
              <w:lang w:val="en-US" w:eastAsia="zh-CN"/>
            </w:rPr>
            <w:fldChar w:fldCharType="separate"/>
          </w:r>
          <w:r>
            <w:rPr>
              <w:rFonts w:hint="eastAsia" w:ascii="黑体" w:hAnsi="黑体" w:eastAsia="黑体" w:cs="黑体"/>
              <w:bCs/>
              <w:szCs w:val="30"/>
              <w:lang w:val="en-US" w:eastAsia="zh-CN"/>
            </w:rPr>
            <w:t>（四十五） 中岩大地教育基金</w:t>
          </w:r>
          <w:r>
            <w:tab/>
          </w:r>
          <w:r>
            <w:fldChar w:fldCharType="begin"/>
          </w:r>
          <w:r>
            <w:instrText xml:space="preserve"> PAGEREF _Toc24668 </w:instrText>
          </w:r>
          <w:r>
            <w:fldChar w:fldCharType="separate"/>
          </w:r>
          <w:r>
            <w:t>62</w:t>
          </w:r>
          <w:r>
            <w:fldChar w:fldCharType="end"/>
          </w:r>
          <w:r>
            <w:rPr>
              <w:rFonts w:hint="eastAsia" w:ascii="华文中宋" w:hAnsi="华文中宋" w:eastAsia="华文中宋" w:cs="华文中宋"/>
              <w:bCs/>
              <w:szCs w:val="36"/>
              <w:lang w:val="en-US" w:eastAsia="zh-CN"/>
            </w:rPr>
            <w:fldChar w:fldCharType="end"/>
          </w:r>
        </w:p>
        <w:p>
          <w:pPr>
            <w:pStyle w:val="7"/>
            <w:tabs>
              <w:tab w:val="right" w:leader="dot" w:pos="8306"/>
            </w:tabs>
          </w:pPr>
          <w:r>
            <w:rPr>
              <w:rFonts w:hint="eastAsia" w:ascii="华文中宋" w:hAnsi="华文中宋" w:eastAsia="华文中宋" w:cs="华文中宋"/>
              <w:bCs/>
              <w:szCs w:val="36"/>
              <w:lang w:val="en-US" w:eastAsia="zh-CN"/>
            </w:rPr>
            <w:fldChar w:fldCharType="begin"/>
          </w:r>
          <w:r>
            <w:rPr>
              <w:rFonts w:hint="eastAsia" w:ascii="华文中宋" w:hAnsi="华文中宋" w:eastAsia="华文中宋" w:cs="华文中宋"/>
              <w:bCs/>
              <w:szCs w:val="36"/>
              <w:lang w:val="en-US" w:eastAsia="zh-CN"/>
            </w:rPr>
            <w:instrText xml:space="preserve"> HYPERLINK \l _Toc4970 </w:instrText>
          </w:r>
          <w:r>
            <w:rPr>
              <w:rFonts w:hint="eastAsia" w:ascii="华文中宋" w:hAnsi="华文中宋" w:eastAsia="华文中宋" w:cs="华文中宋"/>
              <w:bCs/>
              <w:szCs w:val="36"/>
              <w:lang w:val="en-US" w:eastAsia="zh-CN"/>
            </w:rPr>
            <w:fldChar w:fldCharType="separate"/>
          </w:r>
          <w:r>
            <w:rPr>
              <w:rFonts w:hint="eastAsia" w:ascii="黑体" w:hAnsi="黑体" w:eastAsia="黑体" w:cs="黑体"/>
              <w:bCs/>
              <w:szCs w:val="30"/>
              <w:lang w:val="en-US" w:eastAsia="zh-CN"/>
            </w:rPr>
            <w:t>（四十六） 张晓群奖助学金</w:t>
          </w:r>
          <w:r>
            <w:tab/>
          </w:r>
          <w:r>
            <w:fldChar w:fldCharType="begin"/>
          </w:r>
          <w:r>
            <w:instrText xml:space="preserve"> PAGEREF _Toc4970 </w:instrText>
          </w:r>
          <w:r>
            <w:fldChar w:fldCharType="separate"/>
          </w:r>
          <w:r>
            <w:t>63</w:t>
          </w:r>
          <w:r>
            <w:fldChar w:fldCharType="end"/>
          </w:r>
          <w:r>
            <w:rPr>
              <w:rFonts w:hint="eastAsia" w:ascii="华文中宋" w:hAnsi="华文中宋" w:eastAsia="华文中宋" w:cs="华文中宋"/>
              <w:bCs/>
              <w:szCs w:val="36"/>
              <w:lang w:val="en-US" w:eastAsia="zh-CN"/>
            </w:rPr>
            <w:fldChar w:fldCharType="end"/>
          </w:r>
        </w:p>
        <w:p>
          <w:pPr>
            <w:pStyle w:val="7"/>
            <w:tabs>
              <w:tab w:val="right" w:leader="dot" w:pos="8306"/>
            </w:tabs>
          </w:pPr>
          <w:r>
            <w:rPr>
              <w:rFonts w:hint="eastAsia" w:ascii="华文中宋" w:hAnsi="华文中宋" w:eastAsia="华文中宋" w:cs="华文中宋"/>
              <w:bCs/>
              <w:szCs w:val="36"/>
              <w:lang w:val="en-US" w:eastAsia="zh-CN"/>
            </w:rPr>
            <w:fldChar w:fldCharType="begin"/>
          </w:r>
          <w:r>
            <w:rPr>
              <w:rFonts w:hint="eastAsia" w:ascii="华文中宋" w:hAnsi="华文中宋" w:eastAsia="华文中宋" w:cs="华文中宋"/>
              <w:bCs/>
              <w:szCs w:val="36"/>
              <w:lang w:val="en-US" w:eastAsia="zh-CN"/>
            </w:rPr>
            <w:instrText xml:space="preserve"> HYPERLINK \l _Toc18770 </w:instrText>
          </w:r>
          <w:r>
            <w:rPr>
              <w:rFonts w:hint="eastAsia" w:ascii="华文中宋" w:hAnsi="华文中宋" w:eastAsia="华文中宋" w:cs="华文中宋"/>
              <w:bCs/>
              <w:szCs w:val="36"/>
              <w:lang w:val="en-US" w:eastAsia="zh-CN"/>
            </w:rPr>
            <w:fldChar w:fldCharType="separate"/>
          </w:r>
          <w:r>
            <w:rPr>
              <w:rFonts w:hint="eastAsia" w:ascii="黑体" w:hAnsi="黑体" w:eastAsia="黑体" w:cs="黑体"/>
              <w:bCs/>
              <w:szCs w:val="30"/>
              <w:lang w:val="en-US" w:eastAsia="zh-CN"/>
            </w:rPr>
            <w:t>（四十七） 春华助学金</w:t>
          </w:r>
          <w:r>
            <w:tab/>
          </w:r>
          <w:r>
            <w:fldChar w:fldCharType="begin"/>
          </w:r>
          <w:r>
            <w:instrText xml:space="preserve"> PAGEREF _Toc18770 </w:instrText>
          </w:r>
          <w:r>
            <w:fldChar w:fldCharType="separate"/>
          </w:r>
          <w:r>
            <w:t>63</w:t>
          </w:r>
          <w:r>
            <w:fldChar w:fldCharType="end"/>
          </w:r>
          <w:r>
            <w:rPr>
              <w:rFonts w:hint="eastAsia" w:ascii="华文中宋" w:hAnsi="华文中宋" w:eastAsia="华文中宋" w:cs="华文中宋"/>
              <w:bCs/>
              <w:szCs w:val="36"/>
              <w:lang w:val="en-US" w:eastAsia="zh-CN"/>
            </w:rPr>
            <w:fldChar w:fldCharType="end"/>
          </w:r>
        </w:p>
        <w:p>
          <w:pPr>
            <w:pStyle w:val="7"/>
            <w:tabs>
              <w:tab w:val="right" w:leader="dot" w:pos="8306"/>
            </w:tabs>
          </w:pPr>
          <w:r>
            <w:rPr>
              <w:rFonts w:hint="eastAsia" w:ascii="华文中宋" w:hAnsi="华文中宋" w:eastAsia="华文中宋" w:cs="华文中宋"/>
              <w:bCs/>
              <w:szCs w:val="36"/>
              <w:lang w:val="en-US" w:eastAsia="zh-CN"/>
            </w:rPr>
            <w:fldChar w:fldCharType="begin"/>
          </w:r>
          <w:r>
            <w:rPr>
              <w:rFonts w:hint="eastAsia" w:ascii="华文中宋" w:hAnsi="华文中宋" w:eastAsia="华文中宋" w:cs="华文中宋"/>
              <w:bCs/>
              <w:szCs w:val="36"/>
              <w:lang w:val="en-US" w:eastAsia="zh-CN"/>
            </w:rPr>
            <w:instrText xml:space="preserve"> HYPERLINK \l _Toc7313 </w:instrText>
          </w:r>
          <w:r>
            <w:rPr>
              <w:rFonts w:hint="eastAsia" w:ascii="华文中宋" w:hAnsi="华文中宋" w:eastAsia="华文中宋" w:cs="华文中宋"/>
              <w:bCs/>
              <w:szCs w:val="36"/>
              <w:lang w:val="en-US" w:eastAsia="zh-CN"/>
            </w:rPr>
            <w:fldChar w:fldCharType="separate"/>
          </w:r>
          <w:r>
            <w:rPr>
              <w:rFonts w:hint="eastAsia" w:ascii="黑体" w:hAnsi="黑体" w:eastAsia="黑体" w:cs="黑体"/>
              <w:bCs/>
              <w:szCs w:val="30"/>
              <w:lang w:val="en-US" w:eastAsia="zh-CN"/>
            </w:rPr>
            <w:t>（四十八） 南加州校友会助学金</w:t>
          </w:r>
          <w:r>
            <w:tab/>
          </w:r>
          <w:r>
            <w:fldChar w:fldCharType="begin"/>
          </w:r>
          <w:r>
            <w:instrText xml:space="preserve"> PAGEREF _Toc7313 </w:instrText>
          </w:r>
          <w:r>
            <w:fldChar w:fldCharType="separate"/>
          </w:r>
          <w:r>
            <w:t>63</w:t>
          </w:r>
          <w:r>
            <w:fldChar w:fldCharType="end"/>
          </w:r>
          <w:r>
            <w:rPr>
              <w:rFonts w:hint="eastAsia" w:ascii="华文中宋" w:hAnsi="华文中宋" w:eastAsia="华文中宋" w:cs="华文中宋"/>
              <w:bCs/>
              <w:szCs w:val="36"/>
              <w:lang w:val="en-US" w:eastAsia="zh-CN"/>
            </w:rPr>
            <w:fldChar w:fldCharType="end"/>
          </w:r>
        </w:p>
        <w:p>
          <w:pPr>
            <w:pageBreakBefore w:val="0"/>
            <w:widowControl w:val="0"/>
            <w:tabs>
              <w:tab w:val="left" w:pos="228"/>
            </w:tabs>
            <w:kinsoku/>
            <w:wordWrap/>
            <w:overflowPunct/>
            <w:topLinePunct w:val="0"/>
            <w:autoSpaceDE/>
            <w:autoSpaceDN/>
            <w:bidi w:val="0"/>
            <w:adjustRightInd/>
            <w:snapToGrid/>
            <w:spacing w:line="560" w:lineRule="exact"/>
            <w:ind w:left="0" w:leftChars="0" w:right="0" w:rightChars="0" w:firstLine="0" w:firstLineChars="0"/>
            <w:jc w:val="left"/>
            <w:textAlignment w:val="auto"/>
            <w:rPr>
              <w:rFonts w:hint="eastAsia" w:ascii="华文中宋" w:hAnsi="华文中宋" w:eastAsia="华文中宋" w:cs="华文中宋"/>
              <w:b/>
              <w:bCs/>
              <w:sz w:val="36"/>
              <w:szCs w:val="36"/>
              <w:lang w:val="en-US" w:eastAsia="zh-CN"/>
            </w:rPr>
            <w:sectPr>
              <w:pgSz w:w="11906" w:h="16838"/>
              <w:pgMar w:top="1440" w:right="1800" w:bottom="1440" w:left="1800" w:header="851" w:footer="992" w:gutter="0"/>
              <w:pgNumType w:fmt="decimal"/>
              <w:cols w:space="425" w:num="1"/>
              <w:docGrid w:type="lines" w:linePitch="312" w:charSpace="0"/>
            </w:sectPr>
          </w:pPr>
          <w:r>
            <w:rPr>
              <w:rFonts w:hint="eastAsia" w:ascii="华文中宋" w:hAnsi="华文中宋" w:eastAsia="华文中宋" w:cs="华文中宋"/>
              <w:bCs/>
              <w:szCs w:val="36"/>
              <w:lang w:val="en-US" w:eastAsia="zh-CN"/>
            </w:rPr>
            <w:fldChar w:fldCharType="end"/>
          </w:r>
        </w:p>
      </w:sdtContent>
    </w:sdt>
    <w:p>
      <w:pPr>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华文中宋" w:hAnsi="华文中宋" w:eastAsia="华文中宋" w:cs="华文中宋"/>
          <w:b/>
          <w:bCs/>
          <w:sz w:val="36"/>
          <w:szCs w:val="36"/>
          <w:lang w:val="en-US" w:eastAsia="zh-CN"/>
        </w:rPr>
      </w:pPr>
      <w:r>
        <w:rPr>
          <w:rFonts w:hint="eastAsia" w:ascii="华文中宋" w:hAnsi="华文中宋" w:eastAsia="华文中宋" w:cs="华文中宋"/>
          <w:b/>
          <w:bCs/>
          <w:sz w:val="36"/>
          <w:szCs w:val="36"/>
          <w:lang w:val="en-US" w:eastAsia="zh-CN"/>
        </w:rPr>
        <w:t>北京交通大学教育基金会企事业单位及个人捐助奖助学金项目评选条件、管理办法摘要</w:t>
      </w:r>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 w:hAnsi="仿宋" w:eastAsia="仿宋" w:cs="仿宋"/>
          <w:sz w:val="30"/>
          <w:szCs w:val="30"/>
          <w:lang w:val="en-US" w:eastAsia="zh-CN"/>
        </w:rPr>
      </w:pPr>
    </w:p>
    <w:p>
      <w:pPr>
        <w:pStyle w:val="2"/>
        <w:keepNext/>
        <w:keepLines/>
        <w:pageBreakBefore w:val="0"/>
        <w:widowControl w:val="0"/>
        <w:numPr>
          <w:ilvl w:val="0"/>
          <w:numId w:val="1"/>
        </w:numPr>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0"/>
        <w:rPr>
          <w:rFonts w:hint="eastAsia" w:ascii="黑体" w:hAnsi="黑体" w:eastAsia="黑体" w:cs="黑体"/>
          <w:b w:val="0"/>
          <w:bCs/>
          <w:sz w:val="30"/>
          <w:szCs w:val="30"/>
          <w:lang w:val="en-US" w:eastAsia="zh-CN"/>
        </w:rPr>
      </w:pPr>
      <w:bookmarkStart w:id="0" w:name="_Toc3542"/>
      <w:r>
        <w:rPr>
          <w:rFonts w:hint="eastAsia" w:ascii="黑体" w:hAnsi="黑体" w:eastAsia="黑体" w:cs="黑体"/>
          <w:b w:val="0"/>
          <w:bCs/>
          <w:sz w:val="30"/>
          <w:szCs w:val="30"/>
          <w:lang w:val="en-US" w:eastAsia="zh-CN"/>
        </w:rPr>
        <w:t>钱仲侯奖助学金</w:t>
      </w:r>
      <w:bookmarkEnd w:id="0"/>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项目号：</w:t>
      </w:r>
      <w:r>
        <w:rPr>
          <w:rFonts w:hint="eastAsia" w:ascii="仿宋" w:hAnsi="仿宋" w:eastAsia="仿宋" w:cs="仿宋"/>
          <w:sz w:val="28"/>
          <w:szCs w:val="28"/>
          <w:lang w:val="en-US" w:eastAsia="zh-CN"/>
        </w:rPr>
        <w:t>04010002</w:t>
      </w:r>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捐赠方：</w:t>
      </w:r>
      <w:r>
        <w:rPr>
          <w:rFonts w:hint="eastAsia" w:ascii="仿宋" w:hAnsi="仿宋" w:eastAsia="仿宋" w:cs="仿宋"/>
          <w:sz w:val="28"/>
          <w:szCs w:val="28"/>
          <w:lang w:val="en-US" w:eastAsia="zh-CN"/>
        </w:rPr>
        <w:t>钱仲侯家属、亲属及研究生</w:t>
      </w:r>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评选范围：</w:t>
      </w:r>
      <w:r>
        <w:rPr>
          <w:rFonts w:hint="eastAsia" w:ascii="仿宋" w:hAnsi="仿宋" w:eastAsia="仿宋" w:cs="仿宋"/>
          <w:sz w:val="28"/>
          <w:szCs w:val="28"/>
          <w:lang w:val="en-US" w:eastAsia="zh-CN"/>
        </w:rPr>
        <w:t>交通运输学院和经济管理学院学院成绩优秀和刻苦奋进的平困本科生</w:t>
      </w:r>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名额及金额：</w:t>
      </w:r>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奖学金：共3人，其中交通运输学院2人，经济管理学院学院1人，5000元/人˙年</w:t>
      </w:r>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助学金：共10人，其中交通运输学院7人，经济管理学院学院3人，3000元/人˙年</w:t>
      </w:r>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评选条件：</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9"/>
        <w:rPr>
          <w:rFonts w:hint="eastAsia" w:ascii="仿宋" w:hAnsi="仿宋" w:eastAsia="仿宋" w:cs="仿宋"/>
          <w:b/>
          <w:bCs/>
          <w:sz w:val="28"/>
          <w:szCs w:val="28"/>
          <w:lang w:eastAsia="zh-CN"/>
        </w:rPr>
      </w:pPr>
      <w:r>
        <w:rPr>
          <w:rFonts w:hint="eastAsia" w:ascii="仿宋" w:hAnsi="仿宋" w:eastAsia="仿宋" w:cs="仿宋"/>
          <w:b/>
          <w:bCs/>
          <w:sz w:val="28"/>
          <w:szCs w:val="28"/>
        </w:rPr>
        <w:t>奖学金</w:t>
      </w:r>
      <w:r>
        <w:rPr>
          <w:rFonts w:hint="eastAsia" w:ascii="仿宋" w:hAnsi="仿宋" w:eastAsia="仿宋" w:cs="仿宋"/>
          <w:b/>
          <w:bCs/>
          <w:sz w:val="28"/>
          <w:szCs w:val="28"/>
          <w:lang w:eastAsia="zh-CN"/>
        </w:rPr>
        <w:t>：</w:t>
      </w:r>
    </w:p>
    <w:p>
      <w:pPr>
        <w:keepNext w:val="0"/>
        <w:keepLines w:val="0"/>
        <w:pageBreakBefore w:val="0"/>
        <w:widowControl w:val="0"/>
        <w:numPr>
          <w:ilvl w:val="0"/>
          <w:numId w:val="2"/>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思想进步,热爱祖国,热爱中国共产党</w:t>
      </w:r>
      <w:r>
        <w:rPr>
          <w:rFonts w:hint="eastAsia" w:ascii="仿宋" w:hAnsi="仿宋" w:eastAsia="仿宋" w:cs="仿宋"/>
          <w:sz w:val="28"/>
          <w:szCs w:val="28"/>
          <w:lang w:eastAsia="zh-CN"/>
        </w:rPr>
        <w:t>；</w:t>
      </w:r>
    </w:p>
    <w:p>
      <w:pPr>
        <w:keepNext w:val="0"/>
        <w:keepLines w:val="0"/>
        <w:pageBreakBefore w:val="0"/>
        <w:widowControl w:val="0"/>
        <w:numPr>
          <w:ilvl w:val="0"/>
          <w:numId w:val="2"/>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連守国家法律法规和校规校纪,品行端正,无违法违纪行</w:t>
      </w:r>
      <w:r>
        <w:rPr>
          <w:rFonts w:hint="eastAsia" w:ascii="仿宋" w:hAnsi="仿宋" w:eastAsia="仿宋" w:cs="仿宋"/>
          <w:sz w:val="28"/>
          <w:szCs w:val="28"/>
          <w:lang w:eastAsia="zh-CN"/>
        </w:rPr>
        <w:t>；</w:t>
      </w:r>
    </w:p>
    <w:p>
      <w:pPr>
        <w:keepNext w:val="0"/>
        <w:keepLines w:val="0"/>
        <w:pageBreakBefore w:val="0"/>
        <w:widowControl w:val="0"/>
        <w:numPr>
          <w:ilvl w:val="0"/>
          <w:numId w:val="2"/>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家庭经济困难且生活简</w:t>
      </w:r>
      <w:r>
        <w:rPr>
          <w:rFonts w:hint="eastAsia" w:ascii="仿宋" w:hAnsi="仿宋" w:eastAsia="仿宋" w:cs="仿宋"/>
          <w:sz w:val="28"/>
          <w:szCs w:val="28"/>
          <w:lang w:val="en-US" w:eastAsia="zh-CN"/>
        </w:rPr>
        <w:t>朴；</w:t>
      </w:r>
    </w:p>
    <w:p>
      <w:pPr>
        <w:keepNext w:val="0"/>
        <w:keepLines w:val="0"/>
        <w:pageBreakBefore w:val="0"/>
        <w:widowControl w:val="0"/>
        <w:numPr>
          <w:ilvl w:val="0"/>
          <w:numId w:val="2"/>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学习勤奋、刻苦,加权平均学习成绩居专业前20%</w:t>
      </w:r>
      <w:r>
        <w:rPr>
          <w:rFonts w:hint="eastAsia" w:ascii="仿宋" w:hAnsi="仿宋" w:eastAsia="仿宋" w:cs="仿宋"/>
          <w:sz w:val="28"/>
          <w:szCs w:val="28"/>
          <w:lang w:eastAsia="zh-CN"/>
        </w:rPr>
        <w:t>；</w:t>
      </w:r>
    </w:p>
    <w:p>
      <w:pPr>
        <w:keepNext w:val="0"/>
        <w:keepLines w:val="0"/>
        <w:pageBreakBefore w:val="0"/>
        <w:widowControl w:val="0"/>
        <w:numPr>
          <w:ilvl w:val="0"/>
          <w:numId w:val="2"/>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学年思想行为测评成绩居专业前30%。</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9"/>
        <w:rPr>
          <w:rFonts w:hint="eastAsia" w:ascii="仿宋" w:hAnsi="仿宋" w:eastAsia="仿宋" w:cs="仿宋"/>
          <w:b/>
          <w:bCs/>
          <w:sz w:val="28"/>
          <w:szCs w:val="28"/>
          <w:lang w:eastAsia="zh-CN"/>
        </w:rPr>
      </w:pPr>
      <w:r>
        <w:rPr>
          <w:rFonts w:hint="eastAsia" w:ascii="仿宋" w:hAnsi="仿宋" w:eastAsia="仿宋" w:cs="仿宋"/>
          <w:b/>
          <w:bCs/>
          <w:sz w:val="28"/>
          <w:szCs w:val="28"/>
        </w:rPr>
        <w:t>助学金</w:t>
      </w:r>
      <w:r>
        <w:rPr>
          <w:rFonts w:hint="eastAsia" w:ascii="仿宋" w:hAnsi="仿宋" w:eastAsia="仿宋" w:cs="仿宋"/>
          <w:b/>
          <w:bCs/>
          <w:sz w:val="28"/>
          <w:szCs w:val="28"/>
          <w:lang w:eastAsia="zh-CN"/>
        </w:rPr>
        <w:t>：</w:t>
      </w:r>
    </w:p>
    <w:p>
      <w:pPr>
        <w:keepNext w:val="0"/>
        <w:keepLines w:val="0"/>
        <w:pageBreakBefore w:val="0"/>
        <w:widowControl w:val="0"/>
        <w:numPr>
          <w:ilvl w:val="0"/>
          <w:numId w:val="3"/>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思想进步,热爱祖国,热爱中国共产党</w:t>
      </w:r>
      <w:r>
        <w:rPr>
          <w:rFonts w:hint="eastAsia" w:ascii="仿宋" w:hAnsi="仿宋" w:eastAsia="仿宋" w:cs="仿宋"/>
          <w:sz w:val="28"/>
          <w:szCs w:val="28"/>
          <w:lang w:eastAsia="zh-CN"/>
        </w:rPr>
        <w:t>；</w:t>
      </w:r>
    </w:p>
    <w:p>
      <w:pPr>
        <w:keepNext w:val="0"/>
        <w:keepLines w:val="0"/>
        <w:pageBreakBefore w:val="0"/>
        <w:widowControl w:val="0"/>
        <w:numPr>
          <w:ilvl w:val="0"/>
          <w:numId w:val="3"/>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連守国家法律法规和校规校纪,品行端正,无违法违纪行为</w:t>
      </w:r>
      <w:r>
        <w:rPr>
          <w:rFonts w:hint="eastAsia" w:ascii="仿宋" w:hAnsi="仿宋" w:eastAsia="仿宋" w:cs="仿宋"/>
          <w:sz w:val="28"/>
          <w:szCs w:val="28"/>
          <w:lang w:eastAsia="zh-CN"/>
        </w:rPr>
        <w:t>；</w:t>
      </w:r>
    </w:p>
    <w:p>
      <w:pPr>
        <w:keepNext w:val="0"/>
        <w:keepLines w:val="0"/>
        <w:pageBreakBefore w:val="0"/>
        <w:widowControl w:val="0"/>
        <w:numPr>
          <w:ilvl w:val="0"/>
          <w:numId w:val="3"/>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家庭经济困难且生活简</w:t>
      </w:r>
      <w:r>
        <w:rPr>
          <w:rFonts w:hint="eastAsia" w:ascii="仿宋" w:hAnsi="仿宋" w:eastAsia="仿宋" w:cs="仿宋"/>
          <w:sz w:val="28"/>
          <w:szCs w:val="28"/>
          <w:lang w:val="en-US" w:eastAsia="zh-CN"/>
        </w:rPr>
        <w:t>朴；</w:t>
      </w:r>
    </w:p>
    <w:p>
      <w:pPr>
        <w:keepNext w:val="0"/>
        <w:keepLines w:val="0"/>
        <w:pageBreakBefore w:val="0"/>
        <w:widowControl w:val="0"/>
        <w:numPr>
          <w:ilvl w:val="0"/>
          <w:numId w:val="3"/>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学习勤奋、刻苦,加权平均学习成绩居专业前70%</w:t>
      </w:r>
      <w:r>
        <w:rPr>
          <w:rFonts w:hint="eastAsia" w:ascii="仿宋" w:hAnsi="仿宋" w:eastAsia="仿宋" w:cs="仿宋"/>
          <w:sz w:val="28"/>
          <w:szCs w:val="28"/>
          <w:lang w:eastAsia="zh-CN"/>
        </w:rPr>
        <w:t>。</w:t>
      </w:r>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评审办法：</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奖学金</w:t>
      </w:r>
    </w:p>
    <w:p>
      <w:pPr>
        <w:keepNext w:val="0"/>
        <w:keepLines w:val="0"/>
        <w:pageBreakBefore w:val="0"/>
        <w:widowControl w:val="0"/>
        <w:numPr>
          <w:ilvl w:val="0"/>
          <w:numId w:val="4"/>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成立“钱仲候奖助学基金”评审管理领导小组,由学校教育基金会、学生工作处、学生资助管理中心、</w:t>
      </w:r>
      <w:r>
        <w:rPr>
          <w:rFonts w:hint="eastAsia" w:ascii="仿宋" w:hAnsi="仿宋" w:eastAsia="仿宋" w:cs="仿宋"/>
          <w:sz w:val="28"/>
          <w:szCs w:val="28"/>
          <w:lang w:eastAsia="zh-CN"/>
        </w:rPr>
        <w:t>交通运输学院</w:t>
      </w:r>
      <w:r>
        <w:rPr>
          <w:rFonts w:hint="eastAsia" w:ascii="仿宋" w:hAnsi="仿宋" w:eastAsia="仿宋" w:cs="仿宋"/>
          <w:sz w:val="28"/>
          <w:szCs w:val="28"/>
        </w:rPr>
        <w:t xml:space="preserve">和经济管理学院领导组成。北京交通大学成立评审委员会, </w:t>
      </w:r>
      <w:r>
        <w:rPr>
          <w:rFonts w:hint="eastAsia" w:ascii="仿宋" w:hAnsi="仿宋" w:eastAsia="仿宋" w:cs="仿宋"/>
          <w:sz w:val="28"/>
          <w:szCs w:val="28"/>
          <w:lang w:eastAsia="zh-CN"/>
        </w:rPr>
        <w:t>交通运输学院</w:t>
      </w:r>
      <w:r>
        <w:rPr>
          <w:rFonts w:hint="eastAsia" w:ascii="仿宋" w:hAnsi="仿宋" w:eastAsia="仿宋" w:cs="仿宋"/>
          <w:sz w:val="28"/>
          <w:szCs w:val="28"/>
        </w:rPr>
        <w:t>和经济管理学院成立评审小组。具体相关工作由北京交通大学学生工作处完成。</w:t>
      </w:r>
    </w:p>
    <w:p>
      <w:pPr>
        <w:keepNext w:val="0"/>
        <w:keepLines w:val="0"/>
        <w:pageBreakBefore w:val="0"/>
        <w:widowControl w:val="0"/>
        <w:numPr>
          <w:ilvl w:val="0"/>
          <w:numId w:val="4"/>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为了鼓励受助学生发奋学习、积极进取,每年9月,在本科生学年考核的基础上, 钱仲候奖学金评选原则上优先从上一年度获得钱仲候助学金且本年度达到钱仲候奖学金评选资格的学生中选取。 如有剩余名额, 则由具有参评资格的家庭经济困难学生根据评选条件采取自荐与他荐相结合的方式申请</w:t>
      </w:r>
      <w:r>
        <w:rPr>
          <w:rFonts w:hint="eastAsia" w:ascii="仿宋" w:hAnsi="仿宋" w:eastAsia="仿宋" w:cs="仿宋"/>
          <w:sz w:val="28"/>
          <w:szCs w:val="28"/>
          <w:lang w:eastAsia="zh-CN"/>
        </w:rPr>
        <w:t>。</w:t>
      </w:r>
    </w:p>
    <w:p>
      <w:pPr>
        <w:keepNext w:val="0"/>
        <w:keepLines w:val="0"/>
        <w:pageBreakBefore w:val="0"/>
        <w:widowControl w:val="0"/>
        <w:numPr>
          <w:ilvl w:val="0"/>
          <w:numId w:val="4"/>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学院评审小组在广泛征求各方面意见的基础上, 根据评选条件进行初审,提出推荐名单,并以一定方式在学院内进行公示;公示后,学院将最终推荐名单报学校学生工作处。</w:t>
      </w:r>
    </w:p>
    <w:p>
      <w:pPr>
        <w:keepNext w:val="0"/>
        <w:keepLines w:val="0"/>
        <w:pageBreakBefore w:val="0"/>
        <w:widowControl w:val="0"/>
        <w:numPr>
          <w:ilvl w:val="0"/>
          <w:numId w:val="4"/>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学生工作处对两个学院推荐名单进行复审, 提出获奖人员建议名单, 并报至“钱仲候奖助学基金”评审领导小组、“钱仲候奖助学基金”监督检查小组审核。</w:t>
      </w:r>
    </w:p>
    <w:p>
      <w:pPr>
        <w:keepNext w:val="0"/>
        <w:keepLines w:val="0"/>
        <w:pageBreakBefore w:val="0"/>
        <w:widowControl w:val="0"/>
        <w:numPr>
          <w:ilvl w:val="0"/>
          <w:numId w:val="4"/>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校长办公会审核批准获奖人员名单。</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助学金</w:t>
      </w:r>
    </w:p>
    <w:p>
      <w:pPr>
        <w:keepNext w:val="0"/>
        <w:keepLines w:val="0"/>
        <w:pageBreakBefore w:val="0"/>
        <w:widowControl w:val="0"/>
        <w:numPr>
          <w:ilvl w:val="0"/>
          <w:numId w:val="5"/>
        </w:numPr>
        <w:tabs>
          <w:tab w:val="left" w:pos="840"/>
        </w:tabs>
        <w:kinsoku/>
        <w:wordWrap/>
        <w:overflowPunct/>
        <w:topLinePunct w:val="0"/>
        <w:autoSpaceDE/>
        <w:autoSpaceDN/>
        <w:bidi w:val="0"/>
        <w:adjustRightInd/>
        <w:snapToGrid/>
        <w:spacing w:line="560" w:lineRule="exact"/>
        <w:ind w:left="6" w:leftChars="0" w:right="0" w:rightChars="0" w:firstLine="493"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成立“钱仲候奖助学基金”评审管理领导小组, 由学校教育基金会、学生工作处、学生资助管理中心、</w:t>
      </w:r>
      <w:r>
        <w:rPr>
          <w:rFonts w:hint="eastAsia" w:ascii="仿宋" w:hAnsi="仿宋" w:eastAsia="仿宋" w:cs="仿宋"/>
          <w:sz w:val="28"/>
          <w:szCs w:val="28"/>
          <w:lang w:eastAsia="zh-CN"/>
        </w:rPr>
        <w:t>交通运输学院</w:t>
      </w:r>
      <w:r>
        <w:rPr>
          <w:rFonts w:hint="eastAsia" w:ascii="仿宋" w:hAnsi="仿宋" w:eastAsia="仿宋" w:cs="仿宋"/>
          <w:sz w:val="28"/>
          <w:szCs w:val="28"/>
        </w:rPr>
        <w:t>和经济管理学院领导组成</w:t>
      </w:r>
      <w:r>
        <w:rPr>
          <w:rFonts w:hint="eastAsia" w:ascii="仿宋" w:hAnsi="仿宋" w:eastAsia="仿宋" w:cs="仿宋"/>
          <w:sz w:val="28"/>
          <w:szCs w:val="28"/>
          <w:lang w:eastAsia="zh-CN"/>
        </w:rPr>
        <w:t>。</w:t>
      </w:r>
      <w:r>
        <w:rPr>
          <w:rFonts w:hint="eastAsia" w:ascii="仿宋" w:hAnsi="仿宋" w:eastAsia="仿宋" w:cs="仿宋"/>
          <w:sz w:val="28"/>
          <w:szCs w:val="28"/>
        </w:rPr>
        <w:t>北京交通大学成立评审委员会,</w:t>
      </w:r>
      <w:r>
        <w:rPr>
          <w:rFonts w:hint="eastAsia" w:ascii="仿宋" w:hAnsi="仿宋" w:eastAsia="仿宋" w:cs="仿宋"/>
          <w:sz w:val="28"/>
          <w:szCs w:val="28"/>
          <w:lang w:eastAsia="zh-CN"/>
        </w:rPr>
        <w:t>交通运输学院</w:t>
      </w:r>
      <w:r>
        <w:rPr>
          <w:rFonts w:hint="eastAsia" w:ascii="仿宋" w:hAnsi="仿宋" w:eastAsia="仿宋" w:cs="仿宋"/>
          <w:sz w:val="28"/>
          <w:szCs w:val="28"/>
        </w:rPr>
        <w:t>和经济管理学院成立评审小组。 具体相关工作由北京交通大学学生资助管理中心负责。</w:t>
      </w:r>
    </w:p>
    <w:p>
      <w:pPr>
        <w:keepNext w:val="0"/>
        <w:keepLines w:val="0"/>
        <w:pageBreakBefore w:val="0"/>
        <w:widowControl w:val="0"/>
        <w:numPr>
          <w:ilvl w:val="0"/>
          <w:numId w:val="5"/>
        </w:numPr>
        <w:tabs>
          <w:tab w:val="left" w:pos="840"/>
        </w:tabs>
        <w:kinsoku/>
        <w:wordWrap/>
        <w:overflowPunct/>
        <w:topLinePunct w:val="0"/>
        <w:autoSpaceDE/>
        <w:autoSpaceDN/>
        <w:bidi w:val="0"/>
        <w:adjustRightInd/>
        <w:snapToGrid/>
        <w:spacing w:line="560" w:lineRule="exact"/>
        <w:ind w:left="6" w:leftChars="0" w:right="0" w:rightChars="0" w:firstLine="493"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每年9月, 貧困生本人书面申请,填写资助申请表,经学院评审小组初审,学院内公示后上报校学生资助管理中心。学生资助管理中心审核后,报“钱仲候奖助学金基金”评审领导小组、“钱仲候奖助学基金”监督检查小组及学校评审委员会审批。审批后,在全校内公示一一周。</w:t>
      </w:r>
    </w:p>
    <w:p>
      <w:pPr>
        <w:keepNext w:val="0"/>
        <w:keepLines w:val="0"/>
        <w:pageBreakBefore w:val="0"/>
        <w:widowControl w:val="0"/>
        <w:numPr>
          <w:ilvl w:val="0"/>
          <w:numId w:val="5"/>
        </w:numPr>
        <w:tabs>
          <w:tab w:val="left" w:pos="840"/>
        </w:tabs>
        <w:kinsoku/>
        <w:wordWrap/>
        <w:overflowPunct/>
        <w:topLinePunct w:val="0"/>
        <w:autoSpaceDE/>
        <w:autoSpaceDN/>
        <w:bidi w:val="0"/>
        <w:adjustRightInd/>
        <w:snapToGrid/>
        <w:spacing w:line="560" w:lineRule="exact"/>
        <w:ind w:left="6" w:leftChars="0" w:right="0" w:rightChars="0" w:firstLine="493"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为体现传递爱心、乐于助人的理念,受资助学生接受助学金时,可签署自愿偿还协议, 并根据自身情况选择在毕业后有条件的情况下返还或部分返还助学金,使爱心不断延续。受助学生偿还的助学金,将自动进入“钱仲候奖助学金基金”本金中,用于资助更多家庭经济困难的学生。</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b/>
          <w:bCs/>
          <w:sz w:val="28"/>
          <w:szCs w:val="28"/>
          <w:lang w:eastAsia="zh-CN"/>
        </w:rPr>
      </w:pPr>
      <w:r>
        <w:rPr>
          <w:rFonts w:hint="eastAsia" w:ascii="仿宋" w:hAnsi="仿宋" w:eastAsia="仿宋" w:cs="仿宋"/>
          <w:b/>
          <w:bCs/>
          <w:sz w:val="28"/>
          <w:szCs w:val="28"/>
        </w:rPr>
        <w:t>基金的监督</w:t>
      </w:r>
      <w:r>
        <w:rPr>
          <w:rFonts w:hint="eastAsia" w:ascii="仿宋" w:hAnsi="仿宋" w:eastAsia="仿宋" w:cs="仿宋"/>
          <w:b/>
          <w:bCs/>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成立“钱仲候奖助学基金”监督检查小组,由捐款人钱仲候家属韩淑芳(或由其女儿钱4名怡代理)、钱教授学生代表(赵鹏)和学校教育基金会监事组成, 组长韩淑芳。基金监督检查小组负责对基金管理和使用效果进行监督。基金评审管理领导小组每年应向基金监督检查小组提供基金的使用情况并接受其咨询,给予答复。</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b/>
          <w:bCs/>
          <w:sz w:val="28"/>
          <w:szCs w:val="28"/>
          <w:lang w:eastAsia="zh-CN"/>
        </w:rPr>
      </w:pPr>
      <w:r>
        <w:rPr>
          <w:rFonts w:hint="eastAsia" w:ascii="仿宋" w:hAnsi="仿宋" w:eastAsia="仿宋" w:cs="仿宋"/>
          <w:b/>
          <w:bCs/>
          <w:sz w:val="28"/>
          <w:szCs w:val="28"/>
        </w:rPr>
        <w:t>基金管理</w:t>
      </w:r>
      <w:r>
        <w:rPr>
          <w:rFonts w:hint="eastAsia" w:ascii="仿宋" w:hAnsi="仿宋" w:eastAsia="仿宋" w:cs="仿宋"/>
          <w:b/>
          <w:bCs/>
          <w:sz w:val="28"/>
          <w:szCs w:val="28"/>
          <w:lang w:eastAsia="zh-CN"/>
        </w:rPr>
        <w:t>：</w:t>
      </w:r>
    </w:p>
    <w:p>
      <w:pPr>
        <w:keepNext w:val="0"/>
        <w:keepLines w:val="0"/>
        <w:pageBreakBefore w:val="0"/>
        <w:widowControl w:val="0"/>
        <w:numPr>
          <w:ilvl w:val="0"/>
          <w:numId w:val="6"/>
        </w:numPr>
        <w:tabs>
          <w:tab w:val="left" w:pos="840"/>
        </w:tabs>
        <w:kinsoku/>
        <w:wordWrap/>
        <w:overflowPunct/>
        <w:topLinePunct w:val="0"/>
        <w:autoSpaceDE/>
        <w:autoSpaceDN/>
        <w:bidi w:val="0"/>
        <w:adjustRightInd/>
        <w:snapToGrid/>
        <w:spacing w:line="560" w:lineRule="exact"/>
        <w:ind w:left="6" w:leftChars="0" w:right="0" w:rightChars="0" w:firstLine="493"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“钱仲候奖助学基金”在北京交通大学教育基金会账户统筹管理, 每年利用基金会其他非限定性资金的增值收入按照 “钱仲候奖助学基金”年末余额的5%增加到“钱仲候奖助学基金”本金中,逐步扩大资金规模。 今后将根据项目的执行情况以及基金规模的增长逐渐扩大基金支持的范围 。</w:t>
      </w:r>
    </w:p>
    <w:p>
      <w:pPr>
        <w:keepNext w:val="0"/>
        <w:keepLines w:val="0"/>
        <w:pageBreakBefore w:val="0"/>
        <w:widowControl w:val="0"/>
        <w:numPr>
          <w:ilvl w:val="0"/>
          <w:numId w:val="6"/>
        </w:numPr>
        <w:tabs>
          <w:tab w:val="left" w:pos="840"/>
        </w:tabs>
        <w:kinsoku/>
        <w:wordWrap/>
        <w:overflowPunct/>
        <w:topLinePunct w:val="0"/>
        <w:autoSpaceDE/>
        <w:autoSpaceDN/>
        <w:bidi w:val="0"/>
        <w:adjustRightInd/>
        <w:snapToGrid/>
        <w:spacing w:line="560" w:lineRule="exact"/>
        <w:ind w:left="6" w:leftChars="0" w:right="0" w:rightChars="0" w:firstLine="493"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“钱仲候奖助学基金”每学年评审一次,学生工作处及学生资助管理中心根据获奖及受助学生情况制表发放, 由教育基金会打入学生银行卡。</w:t>
      </w:r>
    </w:p>
    <w:p>
      <w:pPr>
        <w:keepNext w:val="0"/>
        <w:keepLines w:val="0"/>
        <w:pageBreakBefore w:val="0"/>
        <w:widowControl w:val="0"/>
        <w:numPr>
          <w:ilvl w:val="0"/>
          <w:numId w:val="6"/>
        </w:numPr>
        <w:tabs>
          <w:tab w:val="left" w:pos="840"/>
        </w:tabs>
        <w:kinsoku/>
        <w:wordWrap/>
        <w:overflowPunct/>
        <w:topLinePunct w:val="0"/>
        <w:autoSpaceDE/>
        <w:autoSpaceDN/>
        <w:bidi w:val="0"/>
        <w:adjustRightInd/>
        <w:snapToGrid/>
        <w:spacing w:line="560" w:lineRule="exact"/>
        <w:ind w:left="6" w:leftChars="0" w:right="0" w:rightChars="0" w:firstLine="493"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11月份,学校择期举办“钱仲候奖助学基金”颁奖1又式,并向“钱仲候奖助学基金” 监督检查小组汇报奖励资助学生情况。</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28"/>
          <w:szCs w:val="28"/>
          <w:lang w:val="en-US" w:eastAsia="zh-CN"/>
        </w:rPr>
      </w:pPr>
    </w:p>
    <w:p>
      <w:pPr>
        <w:pStyle w:val="2"/>
        <w:keepNext/>
        <w:keepLines/>
        <w:pageBreakBefore w:val="0"/>
        <w:widowControl w:val="0"/>
        <w:numPr>
          <w:ilvl w:val="0"/>
          <w:numId w:val="1"/>
        </w:numPr>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0"/>
        <w:rPr>
          <w:rFonts w:hint="eastAsia" w:ascii="黑体" w:hAnsi="黑体" w:eastAsia="黑体" w:cs="黑体"/>
          <w:b w:val="0"/>
          <w:bCs/>
          <w:sz w:val="30"/>
          <w:szCs w:val="30"/>
          <w:lang w:val="en-US" w:eastAsia="zh-CN"/>
        </w:rPr>
      </w:pPr>
      <w:bookmarkStart w:id="1" w:name="_Toc2092"/>
      <w:r>
        <w:rPr>
          <w:rFonts w:hint="eastAsia" w:ascii="黑体" w:hAnsi="黑体" w:eastAsia="黑体" w:cs="黑体"/>
          <w:b w:val="0"/>
          <w:bCs/>
          <w:sz w:val="30"/>
          <w:szCs w:val="30"/>
          <w:lang w:val="en-US" w:eastAsia="zh-CN"/>
        </w:rPr>
        <w:t>智瑾奖</w:t>
      </w:r>
      <w:bookmarkEnd w:id="1"/>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项目号：</w:t>
      </w:r>
      <w:r>
        <w:rPr>
          <w:rFonts w:hint="eastAsia" w:ascii="仿宋" w:hAnsi="仿宋" w:eastAsia="仿宋" w:cs="仿宋"/>
          <w:b w:val="0"/>
          <w:bCs w:val="0"/>
          <w:sz w:val="28"/>
          <w:szCs w:val="28"/>
          <w:lang w:val="en-US" w:eastAsia="zh-CN"/>
        </w:rPr>
        <w:t>99010004</w:t>
      </w:r>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捐赠方：</w:t>
      </w:r>
      <w:r>
        <w:rPr>
          <w:rFonts w:hint="eastAsia" w:ascii="仿宋" w:hAnsi="仿宋" w:eastAsia="仿宋" w:cs="仿宋"/>
          <w:b w:val="0"/>
          <w:bCs w:val="0"/>
          <w:sz w:val="28"/>
          <w:szCs w:val="28"/>
          <w:lang w:val="en-US" w:eastAsia="zh-CN"/>
        </w:rPr>
        <w:t>智瑾基金会</w:t>
      </w:r>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评选范围：</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b w:val="0"/>
          <w:bCs w:val="0"/>
          <w:sz w:val="28"/>
          <w:szCs w:val="28"/>
        </w:rPr>
        <w:t>智瑾奖学金：</w:t>
      </w:r>
      <w:r>
        <w:rPr>
          <w:rFonts w:hint="eastAsia" w:ascii="仿宋" w:hAnsi="仿宋" w:eastAsia="仿宋" w:cs="仿宋"/>
          <w:sz w:val="28"/>
          <w:szCs w:val="28"/>
        </w:rPr>
        <w:t>北京交通大学优秀本科生及研究生</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b w:val="0"/>
          <w:bCs w:val="0"/>
          <w:sz w:val="28"/>
          <w:szCs w:val="28"/>
        </w:rPr>
        <w:t>智瑾专项奖学金：</w:t>
      </w:r>
      <w:r>
        <w:rPr>
          <w:rFonts w:hint="eastAsia" w:ascii="仿宋" w:hAnsi="仿宋" w:eastAsia="仿宋" w:cs="仿宋"/>
          <w:sz w:val="28"/>
          <w:szCs w:val="28"/>
        </w:rPr>
        <w:t>北京交通大学土木建筑工程学院和建筑艺术学院的优秀本科生及研究生</w:t>
      </w:r>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名额及金额：</w:t>
      </w:r>
    </w:p>
    <w:p>
      <w:pPr>
        <w:keepNext w:val="0"/>
        <w:keepLines w:val="0"/>
        <w:pageBreakBefore w:val="0"/>
        <w:widowControl w:val="0"/>
        <w:numPr>
          <w:ilvl w:val="0"/>
          <w:numId w:val="7"/>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rPr>
      </w:pPr>
      <w:r>
        <w:rPr>
          <w:rFonts w:hint="eastAsia" w:ascii="仿宋" w:hAnsi="仿宋" w:eastAsia="仿宋" w:cs="仿宋"/>
          <w:sz w:val="28"/>
          <w:szCs w:val="28"/>
        </w:rPr>
        <w:t>智瑾奖学金：</w:t>
      </w:r>
      <w:r>
        <w:rPr>
          <w:rFonts w:hint="eastAsia" w:ascii="仿宋" w:hAnsi="仿宋" w:eastAsia="仿宋" w:cs="仿宋"/>
          <w:sz w:val="28"/>
          <w:szCs w:val="28"/>
          <w:lang w:val="en-US" w:eastAsia="zh-CN"/>
        </w:rPr>
        <w:t>共34人，其中</w:t>
      </w:r>
      <w:r>
        <w:rPr>
          <w:rFonts w:hint="eastAsia" w:ascii="仿宋" w:hAnsi="仿宋" w:eastAsia="仿宋" w:cs="仿宋"/>
          <w:sz w:val="28"/>
          <w:szCs w:val="28"/>
        </w:rPr>
        <w:t>20</w:t>
      </w:r>
      <w:r>
        <w:rPr>
          <w:rFonts w:hint="eastAsia" w:ascii="仿宋" w:hAnsi="仿宋" w:eastAsia="仿宋" w:cs="仿宋"/>
          <w:sz w:val="28"/>
          <w:szCs w:val="28"/>
          <w:lang w:val="en-US" w:eastAsia="zh-CN"/>
        </w:rPr>
        <w:t>名</w:t>
      </w:r>
      <w:r>
        <w:rPr>
          <w:rFonts w:hint="eastAsia" w:ascii="仿宋" w:hAnsi="仿宋" w:eastAsia="仿宋" w:cs="仿宋"/>
          <w:sz w:val="28"/>
          <w:szCs w:val="28"/>
        </w:rPr>
        <w:t>本科生，5000</w:t>
      </w:r>
      <w:r>
        <w:rPr>
          <w:rFonts w:hint="eastAsia" w:ascii="仿宋" w:hAnsi="仿宋" w:eastAsia="仿宋" w:cs="仿宋"/>
          <w:sz w:val="28"/>
          <w:szCs w:val="28"/>
          <w:lang w:val="en-US" w:eastAsia="zh-CN"/>
        </w:rPr>
        <w:t>元/人˙年</w:t>
      </w:r>
      <w:r>
        <w:rPr>
          <w:rFonts w:hint="eastAsia" w:ascii="仿宋" w:hAnsi="仿宋" w:eastAsia="仿宋" w:cs="仿宋"/>
          <w:sz w:val="28"/>
          <w:szCs w:val="28"/>
        </w:rPr>
        <w:t>；</w:t>
      </w:r>
      <w:r>
        <w:rPr>
          <w:rFonts w:hint="eastAsia" w:ascii="仿宋" w:hAnsi="仿宋" w:eastAsia="仿宋" w:cs="仿宋"/>
          <w:sz w:val="28"/>
          <w:szCs w:val="28"/>
          <w:lang w:val="en-US" w:eastAsia="zh-CN"/>
        </w:rPr>
        <w:t>14名</w:t>
      </w:r>
      <w:r>
        <w:rPr>
          <w:rFonts w:hint="eastAsia" w:ascii="仿宋" w:hAnsi="仿宋" w:eastAsia="仿宋" w:cs="仿宋"/>
          <w:sz w:val="28"/>
          <w:szCs w:val="28"/>
        </w:rPr>
        <w:t>研究生，8000</w:t>
      </w:r>
      <w:r>
        <w:rPr>
          <w:rFonts w:hint="eastAsia" w:ascii="仿宋" w:hAnsi="仿宋" w:eastAsia="仿宋" w:cs="仿宋"/>
          <w:sz w:val="28"/>
          <w:szCs w:val="28"/>
          <w:lang w:val="en-US" w:eastAsia="zh-CN"/>
        </w:rPr>
        <w:t>元/人˙年，共计212000元</w:t>
      </w:r>
    </w:p>
    <w:p>
      <w:pPr>
        <w:keepNext w:val="0"/>
        <w:keepLines w:val="0"/>
        <w:pageBreakBefore w:val="0"/>
        <w:widowControl w:val="0"/>
        <w:numPr>
          <w:ilvl w:val="0"/>
          <w:numId w:val="7"/>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rPr>
        <w:t>智瑾专项奖学金：</w:t>
      </w:r>
      <w:r>
        <w:rPr>
          <w:rFonts w:hint="eastAsia" w:ascii="仿宋" w:hAnsi="仿宋" w:eastAsia="仿宋" w:cs="仿宋"/>
          <w:sz w:val="28"/>
          <w:szCs w:val="28"/>
          <w:lang w:val="en-US" w:eastAsia="zh-CN"/>
        </w:rPr>
        <w:t>共10人，其中2名</w:t>
      </w:r>
      <w:r>
        <w:rPr>
          <w:rFonts w:hint="eastAsia" w:ascii="仿宋" w:hAnsi="仿宋" w:eastAsia="仿宋" w:cs="仿宋"/>
          <w:sz w:val="28"/>
          <w:szCs w:val="28"/>
        </w:rPr>
        <w:t>土建学院本科生，</w:t>
      </w:r>
      <w:r>
        <w:rPr>
          <w:rFonts w:hint="eastAsia" w:ascii="仿宋" w:hAnsi="仿宋" w:eastAsia="仿宋" w:cs="仿宋"/>
          <w:sz w:val="28"/>
          <w:szCs w:val="28"/>
          <w:lang w:val="en-US" w:eastAsia="zh-CN"/>
        </w:rPr>
        <w:t>2名</w:t>
      </w:r>
      <w:r>
        <w:rPr>
          <w:rFonts w:hint="eastAsia" w:ascii="仿宋" w:hAnsi="仿宋" w:eastAsia="仿宋" w:cs="仿宋"/>
          <w:sz w:val="28"/>
          <w:szCs w:val="28"/>
        </w:rPr>
        <w:t>硕士生，</w:t>
      </w:r>
      <w:r>
        <w:rPr>
          <w:rFonts w:hint="eastAsia" w:ascii="仿宋" w:hAnsi="仿宋" w:eastAsia="仿宋" w:cs="仿宋"/>
          <w:sz w:val="28"/>
          <w:szCs w:val="28"/>
          <w:lang w:val="en-US" w:eastAsia="zh-CN"/>
        </w:rPr>
        <w:t>1名</w:t>
      </w:r>
      <w:r>
        <w:rPr>
          <w:rFonts w:hint="eastAsia" w:ascii="仿宋" w:hAnsi="仿宋" w:eastAsia="仿宋" w:cs="仿宋"/>
          <w:sz w:val="28"/>
          <w:szCs w:val="28"/>
        </w:rPr>
        <w:t>博士生，建艺学院</w:t>
      </w:r>
      <w:r>
        <w:rPr>
          <w:rFonts w:hint="eastAsia" w:ascii="仿宋" w:hAnsi="仿宋" w:eastAsia="仿宋" w:cs="仿宋"/>
          <w:sz w:val="28"/>
          <w:szCs w:val="28"/>
          <w:lang w:val="en-US" w:eastAsia="zh-CN"/>
        </w:rPr>
        <w:t>3名</w:t>
      </w:r>
      <w:r>
        <w:rPr>
          <w:rFonts w:hint="eastAsia" w:ascii="仿宋" w:hAnsi="仿宋" w:eastAsia="仿宋" w:cs="仿宋"/>
          <w:sz w:val="28"/>
          <w:szCs w:val="28"/>
        </w:rPr>
        <w:t>本科生，</w:t>
      </w:r>
      <w:r>
        <w:rPr>
          <w:rFonts w:hint="eastAsia" w:ascii="仿宋" w:hAnsi="仿宋" w:eastAsia="仿宋" w:cs="仿宋"/>
          <w:sz w:val="28"/>
          <w:szCs w:val="28"/>
          <w:lang w:val="en-US" w:eastAsia="zh-CN"/>
        </w:rPr>
        <w:t>2名</w:t>
      </w:r>
      <w:r>
        <w:rPr>
          <w:rFonts w:hint="eastAsia" w:ascii="仿宋" w:hAnsi="仿宋" w:eastAsia="仿宋" w:cs="仿宋"/>
          <w:sz w:val="28"/>
          <w:szCs w:val="28"/>
        </w:rPr>
        <w:t>硕士生，10000</w:t>
      </w:r>
      <w:r>
        <w:rPr>
          <w:rFonts w:hint="eastAsia" w:ascii="仿宋" w:hAnsi="仿宋" w:eastAsia="仿宋" w:cs="仿宋"/>
          <w:sz w:val="28"/>
          <w:szCs w:val="28"/>
          <w:lang w:val="en-US" w:eastAsia="zh-CN"/>
        </w:rPr>
        <w:t>元/人˙年</w:t>
      </w:r>
      <w:r>
        <w:rPr>
          <w:rFonts w:hint="eastAsia" w:ascii="仿宋" w:hAnsi="仿宋" w:eastAsia="仿宋" w:cs="仿宋"/>
          <w:sz w:val="28"/>
          <w:szCs w:val="28"/>
        </w:rPr>
        <w:t>，共计100000元</w:t>
      </w:r>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评选条件：</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 xml:space="preserve">本科生： </w:t>
      </w:r>
    </w:p>
    <w:p>
      <w:pPr>
        <w:keepNext w:val="0"/>
        <w:keepLines w:val="0"/>
        <w:pageBreakBefore w:val="0"/>
        <w:widowControl w:val="0"/>
        <w:numPr>
          <w:ilvl w:val="0"/>
          <w:numId w:val="8"/>
        </w:numPr>
        <w:tabs>
          <w:tab w:val="left" w:pos="840"/>
        </w:tabs>
        <w:kinsoku/>
        <w:wordWrap/>
        <w:overflowPunct/>
        <w:topLinePunct w:val="0"/>
        <w:autoSpaceDE/>
        <w:autoSpaceDN/>
        <w:bidi w:val="0"/>
        <w:adjustRightInd/>
        <w:snapToGrid/>
        <w:spacing w:line="560" w:lineRule="exact"/>
        <w:ind w:left="6" w:leftChars="0" w:right="0" w:rightChars="0" w:firstLine="493"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学习勤奋、刻苦，学习成绩优良；</w:t>
      </w:r>
    </w:p>
    <w:p>
      <w:pPr>
        <w:keepNext w:val="0"/>
        <w:keepLines w:val="0"/>
        <w:pageBreakBefore w:val="0"/>
        <w:widowControl w:val="0"/>
        <w:numPr>
          <w:ilvl w:val="0"/>
          <w:numId w:val="8"/>
        </w:numPr>
        <w:tabs>
          <w:tab w:val="left" w:pos="840"/>
        </w:tabs>
        <w:kinsoku/>
        <w:wordWrap/>
        <w:overflowPunct/>
        <w:topLinePunct w:val="0"/>
        <w:autoSpaceDE/>
        <w:autoSpaceDN/>
        <w:bidi w:val="0"/>
        <w:adjustRightInd/>
        <w:snapToGrid/>
        <w:spacing w:line="560" w:lineRule="exact"/>
        <w:ind w:left="6" w:leftChars="0" w:right="0" w:rightChars="0" w:firstLine="493"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符合北京交通大学专项奖学金其他评选基本条件</w:t>
      </w:r>
      <w:r>
        <w:rPr>
          <w:rFonts w:hint="eastAsia" w:ascii="仿宋" w:hAnsi="仿宋" w:eastAsia="仿宋" w:cs="仿宋"/>
          <w:sz w:val="28"/>
          <w:szCs w:val="28"/>
          <w:lang w:eastAsia="zh-CN"/>
        </w:rPr>
        <w:t>：</w:t>
      </w:r>
    </w:p>
    <w:p>
      <w:pPr>
        <w:keepNext w:val="0"/>
        <w:keepLines w:val="0"/>
        <w:pageBreakBefore w:val="0"/>
        <w:widowControl w:val="0"/>
        <w:numPr>
          <w:ilvl w:val="0"/>
          <w:numId w:val="9"/>
        </w:numPr>
        <w:kinsoku/>
        <w:wordWrap/>
        <w:overflowPunct/>
        <w:topLinePunct w:val="0"/>
        <w:autoSpaceDE/>
        <w:autoSpaceDN/>
        <w:bidi w:val="0"/>
        <w:adjustRightInd/>
        <w:snapToGrid/>
        <w:spacing w:line="560" w:lineRule="exact"/>
        <w:ind w:left="980" w:leftChars="200" w:right="0" w:rightChars="0" w:hanging="560" w:hanging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荣获校级及以上三好学生或优秀学生干部称号者；</w:t>
      </w:r>
    </w:p>
    <w:p>
      <w:pPr>
        <w:keepNext w:val="0"/>
        <w:keepLines w:val="0"/>
        <w:pageBreakBefore w:val="0"/>
        <w:widowControl w:val="0"/>
        <w:numPr>
          <w:ilvl w:val="0"/>
          <w:numId w:val="9"/>
        </w:numPr>
        <w:kinsoku/>
        <w:wordWrap/>
        <w:overflowPunct/>
        <w:topLinePunct w:val="0"/>
        <w:autoSpaceDE/>
        <w:autoSpaceDN/>
        <w:bidi w:val="0"/>
        <w:adjustRightInd/>
        <w:snapToGrid/>
        <w:spacing w:line="560" w:lineRule="exact"/>
        <w:ind w:left="980" w:leftChars="200" w:right="0" w:rightChars="0" w:hanging="560" w:hanging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符合奖学金评选方或提供者要求的专项条件；</w:t>
      </w:r>
    </w:p>
    <w:p>
      <w:pPr>
        <w:keepNext w:val="0"/>
        <w:keepLines w:val="0"/>
        <w:pageBreakBefore w:val="0"/>
        <w:widowControl w:val="0"/>
        <w:numPr>
          <w:ilvl w:val="0"/>
          <w:numId w:val="9"/>
        </w:numPr>
        <w:kinsoku/>
        <w:wordWrap/>
        <w:overflowPunct/>
        <w:topLinePunct w:val="0"/>
        <w:autoSpaceDE/>
        <w:autoSpaceDN/>
        <w:bidi w:val="0"/>
        <w:adjustRightInd/>
        <w:snapToGrid/>
        <w:spacing w:line="560" w:lineRule="exact"/>
        <w:ind w:left="980" w:leftChars="200" w:right="0" w:rightChars="0" w:hanging="560" w:hanging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符合学院的筛选条件；</w:t>
      </w:r>
    </w:p>
    <w:p>
      <w:pPr>
        <w:keepNext w:val="0"/>
        <w:keepLines w:val="0"/>
        <w:pageBreakBefore w:val="0"/>
        <w:widowControl w:val="0"/>
        <w:numPr>
          <w:ilvl w:val="0"/>
          <w:numId w:val="9"/>
        </w:numPr>
        <w:kinsoku/>
        <w:wordWrap/>
        <w:overflowPunct/>
        <w:topLinePunct w:val="0"/>
        <w:autoSpaceDE/>
        <w:autoSpaceDN/>
        <w:bidi w:val="0"/>
        <w:adjustRightInd/>
        <w:snapToGrid/>
        <w:spacing w:line="560" w:lineRule="exact"/>
        <w:ind w:left="0" w:leftChars="0" w:right="0" w:rightChars="0" w:firstLine="420" w:firstLineChars="15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各专项奖学金与学校设立的各单项奖学金荣誉可兼得，奖金不兼得；</w:t>
      </w:r>
    </w:p>
    <w:p>
      <w:pPr>
        <w:keepNext w:val="0"/>
        <w:keepLines w:val="0"/>
        <w:pageBreakBefore w:val="0"/>
        <w:widowControl w:val="0"/>
        <w:numPr>
          <w:ilvl w:val="0"/>
          <w:numId w:val="9"/>
        </w:numPr>
        <w:kinsoku/>
        <w:wordWrap/>
        <w:overflowPunct/>
        <w:topLinePunct w:val="0"/>
        <w:autoSpaceDE/>
        <w:autoSpaceDN/>
        <w:bidi w:val="0"/>
        <w:adjustRightInd/>
        <w:snapToGrid/>
        <w:spacing w:line="560" w:lineRule="exact"/>
        <w:ind w:left="980" w:leftChars="200" w:right="0" w:rightChars="0" w:hanging="560" w:hanging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原则上，每名同学不能兼得两项或两项以上专项奖学金。</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研究生：</w:t>
      </w:r>
    </w:p>
    <w:p>
      <w:pPr>
        <w:keepNext w:val="0"/>
        <w:keepLines w:val="0"/>
        <w:pageBreakBefore w:val="0"/>
        <w:widowControl w:val="0"/>
        <w:numPr>
          <w:ilvl w:val="0"/>
          <w:numId w:val="10"/>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具有较高的思想政治觉悟和良好的道德品质，拥护党的领导和社会主义制度，爱祖国、爱学校、爱集体，模范遵守校纪校规，刻苦钻研业务，身心健康；</w:t>
      </w:r>
    </w:p>
    <w:p>
      <w:pPr>
        <w:keepNext w:val="0"/>
        <w:keepLines w:val="0"/>
        <w:pageBreakBefore w:val="0"/>
        <w:widowControl w:val="0"/>
        <w:numPr>
          <w:ilvl w:val="0"/>
          <w:numId w:val="10"/>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入学以来综合测评成绩优良；</w:t>
      </w:r>
    </w:p>
    <w:p>
      <w:pPr>
        <w:keepNext w:val="0"/>
        <w:keepLines w:val="0"/>
        <w:pageBreakBefore w:val="0"/>
        <w:widowControl w:val="0"/>
        <w:numPr>
          <w:ilvl w:val="0"/>
          <w:numId w:val="10"/>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在学制年限内，学术科研成果突出，具备以下条件之一：</w:t>
      </w:r>
    </w:p>
    <w:p>
      <w:pPr>
        <w:keepNext w:val="0"/>
        <w:keepLines w:val="0"/>
        <w:pageBreakBefore w:val="0"/>
        <w:widowControl w:val="0"/>
        <w:numPr>
          <w:ilvl w:val="0"/>
          <w:numId w:val="11"/>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在具有国际标准刊号（ISSN）和国内统一刊号（CN）的刊物上（会议论文收入论文集并公开出版发行且有ISBN刊号）发表论文：博士生10篇（第一作者6篇）及以上；硕士生4篇（第一作者2篇）及以上。其中博士生至少有4篇、硕士生至少有1篇（均为第一作者），达到北京交通大学一类学术论文分类标准；</w:t>
      </w:r>
    </w:p>
    <w:p>
      <w:pPr>
        <w:keepNext w:val="0"/>
        <w:keepLines w:val="0"/>
        <w:pageBreakBefore w:val="0"/>
        <w:widowControl w:val="0"/>
        <w:numPr>
          <w:ilvl w:val="0"/>
          <w:numId w:val="11"/>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作为主要参加者（列入项目合同名单前五名）参加了国家自然科学基金项目、国家社会科学基金项目、“863”计划项目、国家攻关项目；或承担了省、部级（由科技主管部门下达的科技发展项目）项目、以及其他同等项目，项目已取得阶段性成果并在第一项条件中要求的刊物或学术会议上作为第一、二作者发表论文：博士生6篇（第一作者3篇）及以上，硕士生3篇（第一作者1篇）及以上；其中博士生至少有3篇、硕士生至少有1篇（均为第一作者），达到北京交通大学一类学术论文分类标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作为主要参加者(列入鉴定合同名单)并承担关键技术任务的科研项目，通过省、部级（或相当级别）鉴定，被认为具有国际或国内先进水平。若项目获得省、部级（或相当级别）及以上的奖励，或获得授权的发明创造专利的发明人，在同等条件下优先考虑；</w:t>
      </w:r>
    </w:p>
    <w:p>
      <w:pPr>
        <w:keepNext w:val="0"/>
        <w:keepLines w:val="0"/>
        <w:pageBreakBefore w:val="0"/>
        <w:widowControl w:val="0"/>
        <w:numPr>
          <w:ilvl w:val="0"/>
          <w:numId w:val="11"/>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在全国性大学生论文、科研成果或实用发明大赛评比中获奖：博士生获一等奖及以上，硕士生获二等奖及以上；并在第一项条件中的刊物或学术会议上作为第一、二作者发表论文：博士生6篇（第一作者3篇）及以上，硕士生3篇（第一作者1篇）及以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奖学金决策程序如下：</w:t>
      </w:r>
    </w:p>
    <w:p>
      <w:pPr>
        <w:keepNext w:val="0"/>
        <w:keepLines w:val="0"/>
        <w:pageBreakBefore w:val="0"/>
        <w:widowControl w:val="0"/>
        <w:numPr>
          <w:ilvl w:val="0"/>
          <w:numId w:val="12"/>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每年9月，教育基金会根据捐赠协议评选要求，向学生处、研工部发送本年度奖学金评审通知。学生处、研工部根据通知要求，组织各学院开展本年度奖学金评选工作；</w:t>
      </w:r>
    </w:p>
    <w:p>
      <w:pPr>
        <w:keepNext w:val="0"/>
        <w:keepLines w:val="0"/>
        <w:pageBreakBefore w:val="0"/>
        <w:widowControl w:val="0"/>
        <w:numPr>
          <w:ilvl w:val="0"/>
          <w:numId w:val="12"/>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各学院根据学校要求，制定本学院评选方案，采取公开答辩的方式评选各奖项，对评选资格、评选程序、评选结果进行公布，遵循“个人申请、学院审核资格、学院组织评选、学院公示、学院推荐上报”的评选程序，真正做到评选过程的公正、公平、公开；</w:t>
      </w:r>
    </w:p>
    <w:p>
      <w:pPr>
        <w:keepNext w:val="0"/>
        <w:keepLines w:val="0"/>
        <w:pageBreakBefore w:val="0"/>
        <w:widowControl w:val="0"/>
        <w:numPr>
          <w:ilvl w:val="0"/>
          <w:numId w:val="12"/>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各学院将评选结果上报学生处、研工部，两部门按申报条件进行审核，提出建议人选名单，报校长办公会审议，确定最终获奖名单；</w:t>
      </w:r>
    </w:p>
    <w:p>
      <w:pPr>
        <w:keepNext w:val="0"/>
        <w:keepLines w:val="0"/>
        <w:pageBreakBefore w:val="0"/>
        <w:widowControl w:val="0"/>
        <w:numPr>
          <w:ilvl w:val="0"/>
          <w:numId w:val="12"/>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学生处、研工部将获奖学生名单、评审材料等上报教育基金会，由教育基金会完成奖学金发放工作；</w:t>
      </w:r>
    </w:p>
    <w:p>
      <w:pPr>
        <w:keepNext w:val="0"/>
        <w:keepLines w:val="0"/>
        <w:pageBreakBefore w:val="0"/>
        <w:widowControl w:val="0"/>
        <w:numPr>
          <w:ilvl w:val="0"/>
          <w:numId w:val="12"/>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教育基金会根据评审材料编制奖学金汇报册，供捐赠人审阅。</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奖学金、奖教金的监管：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奖学金、奖教金评选过程实行全程公开，评选结果经过学院公示、学校公示、OA系统公示等程序，接受全体师生的监督，保证奖项评选的公平、公正、公开。</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b/>
          <w:bCs/>
          <w:sz w:val="28"/>
          <w:szCs w:val="28"/>
          <w:lang w:eastAsia="zh-CN"/>
        </w:rPr>
      </w:pPr>
      <w:r>
        <w:rPr>
          <w:rFonts w:hint="eastAsia" w:ascii="仿宋" w:hAnsi="仿宋" w:eastAsia="仿宋" w:cs="仿宋"/>
          <w:b/>
          <w:bCs/>
          <w:sz w:val="28"/>
          <w:szCs w:val="28"/>
        </w:rPr>
        <w:t>检查奖学金的选拔和核实工作</w:t>
      </w:r>
      <w:r>
        <w:rPr>
          <w:rFonts w:hint="eastAsia" w:ascii="仿宋" w:hAnsi="仿宋" w:eastAsia="仿宋" w:cs="仿宋"/>
          <w:b/>
          <w:bCs/>
          <w:sz w:val="28"/>
          <w:szCs w:val="28"/>
          <w:lang w:eastAsia="zh-CN"/>
        </w:rPr>
        <w:t>：</w:t>
      </w:r>
    </w:p>
    <w:p>
      <w:pPr>
        <w:keepNext w:val="0"/>
        <w:keepLines w:val="0"/>
        <w:pageBreakBefore w:val="0"/>
        <w:widowControl w:val="0"/>
        <w:numPr>
          <w:ilvl w:val="0"/>
          <w:numId w:val="13"/>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奖学金、奖教金的评选可查看学校相关部门纸质评选通知及学生、教师申请材料，电子版通知及评选结果可查看学校相关部门网站及OA系统通知</w:t>
      </w:r>
      <w:r>
        <w:rPr>
          <w:rFonts w:hint="eastAsia" w:ascii="仿宋" w:hAnsi="仿宋" w:eastAsia="仿宋" w:cs="仿宋"/>
          <w:sz w:val="28"/>
          <w:szCs w:val="28"/>
          <w:lang w:eastAsia="zh-CN"/>
        </w:rPr>
        <w:t>；</w:t>
      </w:r>
    </w:p>
    <w:p>
      <w:pPr>
        <w:keepNext w:val="0"/>
        <w:keepLines w:val="0"/>
        <w:pageBreakBefore w:val="0"/>
        <w:widowControl w:val="0"/>
        <w:numPr>
          <w:ilvl w:val="0"/>
          <w:numId w:val="13"/>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对于每笔奖助学金、奖教金，教育基金会均有纸质基金审批表、发放表及银行打卡回执单可供查询，确保捐赠资金使用到位</w:t>
      </w:r>
      <w:r>
        <w:rPr>
          <w:rFonts w:hint="eastAsia" w:ascii="仿宋" w:hAnsi="仿宋" w:eastAsia="仿宋" w:cs="仿宋"/>
          <w:sz w:val="28"/>
          <w:szCs w:val="28"/>
          <w:lang w:eastAsia="zh-CN"/>
        </w:rPr>
        <w:t>；</w:t>
      </w:r>
    </w:p>
    <w:p>
      <w:pPr>
        <w:keepNext w:val="0"/>
        <w:keepLines w:val="0"/>
        <w:pageBreakBefore w:val="0"/>
        <w:widowControl w:val="0"/>
        <w:numPr>
          <w:ilvl w:val="0"/>
          <w:numId w:val="13"/>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教育基金会每年根据获奖学生、教师信息制作智瑾奖汇报册，供捐赠人审阅。</w:t>
      </w:r>
    </w:p>
    <w:p>
      <w:pPr>
        <w:pStyle w:val="2"/>
        <w:keepNext/>
        <w:keepLines/>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Chars="0" w:right="0" w:rightChars="0"/>
        <w:jc w:val="both"/>
        <w:textAlignment w:val="auto"/>
        <w:outlineLvl w:val="0"/>
        <w:rPr>
          <w:rFonts w:hint="eastAsia" w:ascii="仿宋" w:hAnsi="仿宋" w:eastAsia="仿宋" w:cs="仿宋"/>
          <w:b w:val="0"/>
          <w:bCs/>
          <w:sz w:val="30"/>
          <w:szCs w:val="30"/>
          <w:lang w:val="en-US" w:eastAsia="zh-CN"/>
        </w:rPr>
      </w:pPr>
    </w:p>
    <w:p>
      <w:pPr>
        <w:pStyle w:val="2"/>
        <w:keepNext/>
        <w:keepLines/>
        <w:pageBreakBefore w:val="0"/>
        <w:widowControl w:val="0"/>
        <w:numPr>
          <w:ilvl w:val="0"/>
          <w:numId w:val="1"/>
        </w:numPr>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0"/>
        <w:rPr>
          <w:rFonts w:hint="eastAsia" w:ascii="黑体" w:hAnsi="黑体" w:eastAsia="黑体" w:cs="黑体"/>
          <w:b w:val="0"/>
          <w:bCs/>
          <w:sz w:val="30"/>
          <w:szCs w:val="30"/>
          <w:lang w:val="en-US" w:eastAsia="zh-CN"/>
        </w:rPr>
      </w:pPr>
      <w:bookmarkStart w:id="2" w:name="_Toc31929"/>
      <w:r>
        <w:rPr>
          <w:rFonts w:hint="eastAsia" w:ascii="黑体" w:hAnsi="黑体" w:eastAsia="黑体" w:cs="黑体"/>
          <w:b w:val="0"/>
          <w:bCs/>
          <w:sz w:val="30"/>
          <w:szCs w:val="30"/>
          <w:lang w:val="en-US" w:eastAsia="zh-CN"/>
        </w:rPr>
        <w:t>北京公交人才基金</w:t>
      </w:r>
      <w:bookmarkEnd w:id="2"/>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项目号：</w:t>
      </w:r>
      <w:r>
        <w:rPr>
          <w:rFonts w:hint="eastAsia" w:ascii="仿宋" w:hAnsi="仿宋" w:eastAsia="仿宋" w:cs="仿宋"/>
          <w:b w:val="0"/>
          <w:bCs w:val="0"/>
          <w:sz w:val="28"/>
          <w:szCs w:val="28"/>
          <w:lang w:val="en-US" w:eastAsia="zh-CN"/>
        </w:rPr>
        <w:t>99010016</w:t>
      </w:r>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捐赠方：</w:t>
      </w:r>
      <w:r>
        <w:rPr>
          <w:rFonts w:hint="eastAsia" w:ascii="仿宋" w:hAnsi="仿宋" w:eastAsia="仿宋" w:cs="仿宋"/>
          <w:b w:val="0"/>
          <w:bCs w:val="0"/>
          <w:sz w:val="28"/>
          <w:szCs w:val="28"/>
          <w:lang w:val="en-US" w:eastAsia="zh-CN"/>
        </w:rPr>
        <w:t>北京公共交通控股（集团）有限公司</w:t>
      </w:r>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评选范围：</w:t>
      </w:r>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奖学金：北京交通大学电子信息学院和交通运输学院成绩优秀的在读本科生</w:t>
      </w:r>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助学金：北京交通大学电子信息学院和交通运输学院家庭经济困难且学习奋进的在读本科生</w:t>
      </w:r>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名额及金额：</w:t>
      </w:r>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奖学金：共6人，其中交通运输学院3人，电子信息学院3人，5000元/人˙年</w:t>
      </w:r>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sz w:val="28"/>
          <w:szCs w:val="28"/>
          <w:lang w:val="en-US" w:eastAsia="zh-CN"/>
        </w:rPr>
        <w:t xml:space="preserve">    助学金：共6人，其中交通运输学院3人，电子信息学院3人，3000元/人˙年</w:t>
      </w:r>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评选条件：</w:t>
      </w:r>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2" w:firstLineChars="200"/>
        <w:jc w:val="both"/>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奖学金：</w:t>
      </w:r>
    </w:p>
    <w:p>
      <w:pPr>
        <w:keepNext w:val="0"/>
        <w:keepLines w:val="0"/>
        <w:pageBreakBefore w:val="0"/>
        <w:widowControl w:val="0"/>
        <w:numPr>
          <w:ilvl w:val="0"/>
          <w:numId w:val="14"/>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思想进步，热爱国家，热爱中国共产党；</w:t>
      </w:r>
    </w:p>
    <w:p>
      <w:pPr>
        <w:keepNext w:val="0"/>
        <w:keepLines w:val="0"/>
        <w:pageBreakBefore w:val="0"/>
        <w:widowControl w:val="0"/>
        <w:numPr>
          <w:ilvl w:val="0"/>
          <w:numId w:val="14"/>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遵守国家法律法规和校规校纪，品行端正，无违法违纪行为；</w:t>
      </w:r>
    </w:p>
    <w:p>
      <w:pPr>
        <w:keepNext w:val="0"/>
        <w:keepLines w:val="0"/>
        <w:pageBreakBefore w:val="0"/>
        <w:widowControl w:val="0"/>
        <w:numPr>
          <w:ilvl w:val="0"/>
          <w:numId w:val="14"/>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“北京交通大学三好学生”获得者；</w:t>
      </w:r>
    </w:p>
    <w:p>
      <w:pPr>
        <w:keepNext w:val="0"/>
        <w:keepLines w:val="0"/>
        <w:pageBreakBefore w:val="0"/>
        <w:widowControl w:val="0"/>
        <w:numPr>
          <w:ilvl w:val="0"/>
          <w:numId w:val="14"/>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学习勤奋、刻苦，加权平均学习成绩居专业前40%；</w:t>
      </w:r>
    </w:p>
    <w:p>
      <w:pPr>
        <w:keepNext w:val="0"/>
        <w:keepLines w:val="0"/>
        <w:pageBreakBefore w:val="0"/>
        <w:widowControl w:val="0"/>
        <w:numPr>
          <w:ilvl w:val="0"/>
          <w:numId w:val="14"/>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学习思想行为测评成绩居专业前30%。</w:t>
      </w:r>
    </w:p>
    <w:p>
      <w:pPr>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562" w:firstLineChars="200"/>
        <w:jc w:val="both"/>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助学金</w:t>
      </w:r>
    </w:p>
    <w:p>
      <w:pPr>
        <w:keepNext w:val="0"/>
        <w:keepLines w:val="0"/>
        <w:pageBreakBefore w:val="0"/>
        <w:widowControl w:val="0"/>
        <w:numPr>
          <w:ilvl w:val="0"/>
          <w:numId w:val="15"/>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思想进步，热爱国家，热爱中国共产党；</w:t>
      </w:r>
    </w:p>
    <w:p>
      <w:pPr>
        <w:keepNext w:val="0"/>
        <w:keepLines w:val="0"/>
        <w:pageBreakBefore w:val="0"/>
        <w:widowControl w:val="0"/>
        <w:numPr>
          <w:ilvl w:val="0"/>
          <w:numId w:val="15"/>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遵守国家法律法规和校规校纪，品行端正，无违法违纪行为；</w:t>
      </w:r>
    </w:p>
    <w:p>
      <w:pPr>
        <w:keepNext w:val="0"/>
        <w:keepLines w:val="0"/>
        <w:pageBreakBefore w:val="0"/>
        <w:widowControl w:val="0"/>
        <w:numPr>
          <w:ilvl w:val="0"/>
          <w:numId w:val="15"/>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家庭经济困难且生活简朴；</w:t>
      </w:r>
    </w:p>
    <w:p>
      <w:pPr>
        <w:keepNext w:val="0"/>
        <w:keepLines w:val="0"/>
        <w:pageBreakBefore w:val="0"/>
        <w:widowControl w:val="0"/>
        <w:numPr>
          <w:ilvl w:val="0"/>
          <w:numId w:val="15"/>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学习勤奋、刻苦，加权平均学习成绩居专业前30%。</w:t>
      </w:r>
    </w:p>
    <w:p>
      <w:pPr>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评审办法</w:t>
      </w:r>
    </w:p>
    <w:p>
      <w:pPr>
        <w:pageBreakBefore w:val="0"/>
        <w:widowControl w:val="0"/>
        <w:numPr>
          <w:ilvl w:val="0"/>
          <w:numId w:val="0"/>
        </w:numPr>
        <w:kinsoku/>
        <w:wordWrap/>
        <w:overflowPunct/>
        <w:topLinePunct w:val="0"/>
        <w:autoSpaceDE/>
        <w:autoSpaceDN/>
        <w:bidi w:val="0"/>
        <w:adjustRightInd/>
        <w:snapToGrid/>
        <w:spacing w:line="560" w:lineRule="exact"/>
        <w:ind w:right="0" w:rightChars="0" w:firstLine="562" w:firstLineChars="200"/>
        <w:jc w:val="both"/>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奖学金：</w:t>
      </w:r>
    </w:p>
    <w:p>
      <w:pPr>
        <w:keepNext w:val="0"/>
        <w:keepLines w:val="0"/>
        <w:pageBreakBefore w:val="0"/>
        <w:widowControl w:val="0"/>
        <w:numPr>
          <w:ilvl w:val="0"/>
          <w:numId w:val="16"/>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成立“北京交通”奖助学金基金评审管理领导小组和监督检查小组、评审管理小组，由学校教育基金会、学生工作处、学生资助管理中心组成。北京交通大学成立评审委员会，相关学院成立评审小组。具体相关工作由北京交通大学学生工作处完成；</w:t>
      </w:r>
    </w:p>
    <w:p>
      <w:pPr>
        <w:keepNext w:val="0"/>
        <w:keepLines w:val="0"/>
        <w:pageBreakBefore w:val="0"/>
        <w:widowControl w:val="0"/>
        <w:numPr>
          <w:ilvl w:val="0"/>
          <w:numId w:val="16"/>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每年九月，在本科生学年考核的基础上，具有参评资格的优秀学生，根据评选条件采取自荐与他荐相结合的方式申请；</w:t>
      </w:r>
    </w:p>
    <w:p>
      <w:pPr>
        <w:keepNext w:val="0"/>
        <w:keepLines w:val="0"/>
        <w:pageBreakBefore w:val="0"/>
        <w:widowControl w:val="0"/>
        <w:numPr>
          <w:ilvl w:val="0"/>
          <w:numId w:val="16"/>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相关学院学生工作组在广泛征求各方面意见的基础上，根据评选条件进行公示；公示后，学院将最终推荐名单报我校学生工作处；由学生工作处复审后报给教育基金会；</w:t>
      </w:r>
    </w:p>
    <w:p>
      <w:pPr>
        <w:keepNext w:val="0"/>
        <w:keepLines w:val="0"/>
        <w:pageBreakBefore w:val="0"/>
        <w:widowControl w:val="0"/>
        <w:numPr>
          <w:ilvl w:val="0"/>
          <w:numId w:val="16"/>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教育基金会对推荐名单进行最后审查，并提出获奖人员建议名单；</w:t>
      </w:r>
    </w:p>
    <w:p>
      <w:pPr>
        <w:keepNext w:val="0"/>
        <w:keepLines w:val="0"/>
        <w:pageBreakBefore w:val="0"/>
        <w:widowControl w:val="0"/>
        <w:numPr>
          <w:ilvl w:val="0"/>
          <w:numId w:val="16"/>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校长会议审核批准获奖人员名单；</w:t>
      </w:r>
    </w:p>
    <w:p>
      <w:pPr>
        <w:keepNext w:val="0"/>
        <w:keepLines w:val="0"/>
        <w:pageBreakBefore w:val="0"/>
        <w:widowControl w:val="0"/>
        <w:numPr>
          <w:ilvl w:val="0"/>
          <w:numId w:val="16"/>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此奖学金每年评审一次。</w:t>
      </w:r>
    </w:p>
    <w:p>
      <w:pPr>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562" w:firstLineChars="200"/>
        <w:jc w:val="both"/>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助学金</w:t>
      </w:r>
    </w:p>
    <w:p>
      <w:pPr>
        <w:keepNext w:val="0"/>
        <w:keepLines w:val="0"/>
        <w:pageBreakBefore w:val="0"/>
        <w:widowControl w:val="0"/>
        <w:numPr>
          <w:ilvl w:val="0"/>
          <w:numId w:val="17"/>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成立“北京交通”奖助学金基金评审管理领导小组和监督检查小组、评审管理小组，由学校教育基金会、学生工作处、学生资助管理中心组成。北京交通大学成立评审委员会，相关学院成立评审小组。具体相关工作由北京交通大学学生工作处完成；</w:t>
      </w:r>
    </w:p>
    <w:p>
      <w:pPr>
        <w:keepNext w:val="0"/>
        <w:keepLines w:val="0"/>
        <w:pageBreakBefore w:val="0"/>
        <w:widowControl w:val="0"/>
        <w:numPr>
          <w:ilvl w:val="0"/>
          <w:numId w:val="17"/>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每年九月贫困生本人书面申请，填写资助申请表，经学院评审小组初审，学院内公示后上报我校学生资助管理中心。学生资助管理中心审核后，报教育基金会最后审查。由教育基金会组织学校评审委员会及“北京公交”助学金评审领导小组审批。审批后在全校内公示一周；</w:t>
      </w:r>
    </w:p>
    <w:p>
      <w:pPr>
        <w:keepNext w:val="0"/>
        <w:keepLines w:val="0"/>
        <w:pageBreakBefore w:val="0"/>
        <w:widowControl w:val="0"/>
        <w:numPr>
          <w:ilvl w:val="0"/>
          <w:numId w:val="17"/>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为体现传递爱心、乐于助人的理念，受资助学生接受爱心基金时，需签署自愿偿还协议，偿还时可根据自身情况选择在毕业后2年、4年、6年内还所受助的全部金额，如受资助人逾期不还情况发生，偿还协议随即终止。如超过协议年限仍可继续义务偿还。受助学生偿还的助学金，自动进入“北京公交”基金本金当中，用于资助更多家庭经济困难的学生；</w:t>
      </w:r>
    </w:p>
    <w:p>
      <w:pPr>
        <w:keepNext w:val="0"/>
        <w:keepLines w:val="0"/>
        <w:pageBreakBefore w:val="0"/>
        <w:widowControl w:val="0"/>
        <w:numPr>
          <w:ilvl w:val="0"/>
          <w:numId w:val="17"/>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此助学金每年评审一次。</w:t>
      </w:r>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评审管理：</w:t>
      </w:r>
    </w:p>
    <w:p>
      <w:pPr>
        <w:keepNext w:val="0"/>
        <w:keepLines w:val="0"/>
        <w:pageBreakBefore w:val="0"/>
        <w:widowControl w:val="0"/>
        <w:numPr>
          <w:ilvl w:val="0"/>
          <w:numId w:val="18"/>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“北京交通”奖助学金每学年评审一次，教育基金会设立专门账户，统一管理，学生工作处及学生资助管理中心根据获奖及受助学生情况制表发放，由教育基金会打入学生银行卡；</w:t>
      </w:r>
    </w:p>
    <w:p>
      <w:pPr>
        <w:keepNext w:val="0"/>
        <w:keepLines w:val="0"/>
        <w:pageBreakBefore w:val="0"/>
        <w:widowControl w:val="0"/>
        <w:numPr>
          <w:ilvl w:val="0"/>
          <w:numId w:val="18"/>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11月份，学校择期邀请北京公交集团相关领导出席“北京公交”奖助学金颁奖仪式，并向公交集团和“北京公交”奖助学金基金监督小组汇报奖励学生资助情况。</w:t>
      </w:r>
    </w:p>
    <w:p>
      <w:pPr>
        <w:pStyle w:val="2"/>
        <w:keepNext/>
        <w:keepLines/>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Chars="0" w:right="0" w:rightChars="0"/>
        <w:jc w:val="both"/>
        <w:textAlignment w:val="auto"/>
        <w:outlineLvl w:val="0"/>
        <w:rPr>
          <w:rFonts w:hint="eastAsia" w:ascii="仿宋" w:hAnsi="仿宋" w:eastAsia="仿宋" w:cs="仿宋"/>
          <w:b w:val="0"/>
          <w:bCs/>
          <w:sz w:val="30"/>
          <w:szCs w:val="30"/>
          <w:lang w:val="en-US" w:eastAsia="zh-CN"/>
        </w:rPr>
      </w:pPr>
    </w:p>
    <w:p>
      <w:pPr>
        <w:rPr>
          <w:rFonts w:hint="eastAsia"/>
          <w:lang w:val="en-US" w:eastAsia="zh-CN"/>
        </w:rPr>
      </w:pPr>
    </w:p>
    <w:p>
      <w:pPr>
        <w:pStyle w:val="2"/>
        <w:keepNext/>
        <w:keepLines/>
        <w:pageBreakBefore w:val="0"/>
        <w:widowControl w:val="0"/>
        <w:numPr>
          <w:ilvl w:val="0"/>
          <w:numId w:val="1"/>
        </w:numPr>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0"/>
        <w:rPr>
          <w:rFonts w:hint="eastAsia" w:ascii="黑体" w:hAnsi="黑体" w:eastAsia="黑体" w:cs="黑体"/>
          <w:b w:val="0"/>
          <w:bCs/>
          <w:sz w:val="30"/>
          <w:szCs w:val="30"/>
          <w:lang w:val="en-US" w:eastAsia="zh-CN"/>
        </w:rPr>
      </w:pPr>
      <w:bookmarkStart w:id="3" w:name="_Toc12697"/>
      <w:r>
        <w:rPr>
          <w:rFonts w:hint="eastAsia" w:ascii="黑体" w:hAnsi="黑体" w:eastAsia="黑体" w:cs="黑体"/>
          <w:b w:val="0"/>
          <w:bCs/>
          <w:sz w:val="30"/>
          <w:szCs w:val="30"/>
          <w:lang w:val="en-US" w:eastAsia="zh-CN"/>
        </w:rPr>
        <w:t>高富浪基金</w:t>
      </w:r>
      <w:bookmarkEnd w:id="3"/>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项目号：</w:t>
      </w:r>
      <w:r>
        <w:rPr>
          <w:rFonts w:hint="eastAsia" w:ascii="仿宋" w:hAnsi="仿宋" w:eastAsia="仿宋" w:cs="仿宋"/>
          <w:b w:val="0"/>
          <w:bCs w:val="0"/>
          <w:sz w:val="28"/>
          <w:szCs w:val="28"/>
          <w:lang w:val="en-US" w:eastAsia="zh-CN"/>
        </w:rPr>
        <w:t>05010017</w:t>
      </w:r>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捐赠方：</w:t>
      </w:r>
      <w:r>
        <w:rPr>
          <w:rFonts w:hint="eastAsia" w:ascii="仿宋" w:hAnsi="仿宋" w:eastAsia="仿宋" w:cs="仿宋"/>
          <w:b w:val="0"/>
          <w:bCs w:val="0"/>
          <w:sz w:val="28"/>
          <w:szCs w:val="28"/>
          <w:lang w:val="en-US" w:eastAsia="zh-CN"/>
        </w:rPr>
        <w:t>高富浪亲属</w:t>
      </w:r>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评选范围：</w:t>
      </w:r>
      <w:r>
        <w:rPr>
          <w:rFonts w:hint="eastAsia" w:ascii="仿宋" w:hAnsi="仿宋" w:eastAsia="仿宋" w:cs="仿宋"/>
          <w:b w:val="0"/>
          <w:bCs w:val="0"/>
          <w:sz w:val="28"/>
          <w:szCs w:val="28"/>
          <w:lang w:val="en-US" w:eastAsia="zh-CN"/>
        </w:rPr>
        <w:t>北京交通大学在校全日制学生</w:t>
      </w:r>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名额及金额：</w:t>
      </w:r>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rPr>
          <w:rFonts w:hint="eastAsia" w:ascii="仿宋" w:hAnsi="仿宋" w:eastAsia="仿宋" w:cs="仿宋"/>
          <w:b/>
          <w:bCs/>
          <w:sz w:val="28"/>
          <w:szCs w:val="28"/>
          <w:lang w:val="en-US" w:eastAsia="zh-CN"/>
        </w:rPr>
      </w:pPr>
      <w:r>
        <w:rPr>
          <w:rFonts w:hint="eastAsia" w:ascii="仿宋" w:hAnsi="仿宋" w:eastAsia="仿宋" w:cs="仿宋"/>
          <w:b w:val="0"/>
          <w:bCs w:val="0"/>
          <w:sz w:val="28"/>
          <w:szCs w:val="28"/>
          <w:lang w:val="en-US" w:eastAsia="zh-CN"/>
        </w:rPr>
        <w:t>“见义勇为”奖：有则评，无则不评，2000</w:t>
      </w:r>
      <w:r>
        <w:rPr>
          <w:rFonts w:hint="eastAsia" w:ascii="仿宋" w:hAnsi="仿宋" w:eastAsia="仿宋" w:cs="仿宋"/>
          <w:sz w:val="28"/>
          <w:szCs w:val="28"/>
          <w:lang w:val="en-US" w:eastAsia="zh-CN"/>
        </w:rPr>
        <w:t>元/人˙年</w:t>
      </w:r>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rPr>
          <w:rFonts w:hint="eastAsia" w:ascii="仿宋" w:hAnsi="仿宋" w:eastAsia="仿宋" w:cs="仿宋"/>
          <w:b/>
          <w:bCs/>
          <w:sz w:val="28"/>
          <w:szCs w:val="28"/>
          <w:lang w:val="en-US" w:eastAsia="zh-CN"/>
        </w:rPr>
      </w:pPr>
      <w:r>
        <w:rPr>
          <w:rFonts w:hint="eastAsia" w:ascii="仿宋" w:hAnsi="仿宋" w:eastAsia="仿宋" w:cs="仿宋"/>
          <w:b w:val="0"/>
          <w:bCs w:val="0"/>
          <w:sz w:val="28"/>
          <w:szCs w:val="28"/>
          <w:lang w:val="en-US" w:eastAsia="zh-CN"/>
        </w:rPr>
        <w:t>“自强不息”奖：共2人，1500</w:t>
      </w:r>
      <w:r>
        <w:rPr>
          <w:rFonts w:hint="eastAsia" w:ascii="仿宋" w:hAnsi="仿宋" w:eastAsia="仿宋" w:cs="仿宋"/>
          <w:sz w:val="28"/>
          <w:szCs w:val="28"/>
          <w:lang w:val="en-US" w:eastAsia="zh-CN"/>
        </w:rPr>
        <w:t>元/人˙年</w:t>
      </w:r>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rPr>
          <w:rFonts w:hint="eastAsia" w:ascii="仿宋" w:hAnsi="仿宋" w:eastAsia="仿宋" w:cs="仿宋"/>
          <w:b/>
          <w:bCs/>
          <w:sz w:val="28"/>
          <w:szCs w:val="28"/>
          <w:lang w:val="en-US" w:eastAsia="zh-CN"/>
        </w:rPr>
      </w:pPr>
      <w:r>
        <w:rPr>
          <w:rFonts w:hint="eastAsia" w:ascii="仿宋" w:hAnsi="仿宋" w:eastAsia="仿宋" w:cs="仿宋"/>
          <w:b w:val="0"/>
          <w:bCs w:val="0"/>
          <w:sz w:val="28"/>
          <w:szCs w:val="28"/>
          <w:lang w:val="en-US" w:eastAsia="zh-CN"/>
        </w:rPr>
        <w:t>“乐于助人”奖：共2--3人，1000</w:t>
      </w:r>
      <w:r>
        <w:rPr>
          <w:rFonts w:hint="eastAsia" w:ascii="仿宋" w:hAnsi="仿宋" w:eastAsia="仿宋" w:cs="仿宋"/>
          <w:sz w:val="28"/>
          <w:szCs w:val="28"/>
          <w:lang w:val="en-US" w:eastAsia="zh-CN"/>
        </w:rPr>
        <w:t>元/人˙年</w:t>
      </w:r>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“甘于奉献”奖：共2--3人，1000</w:t>
      </w:r>
      <w:r>
        <w:rPr>
          <w:rFonts w:hint="eastAsia" w:ascii="仿宋" w:hAnsi="仿宋" w:eastAsia="仿宋" w:cs="仿宋"/>
          <w:sz w:val="28"/>
          <w:szCs w:val="28"/>
          <w:lang w:val="en-US" w:eastAsia="zh-CN"/>
        </w:rPr>
        <w:t>元/人˙年</w:t>
      </w:r>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评选条件：</w:t>
      </w:r>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rPr>
          <w:rFonts w:hint="eastAsia" w:ascii="仿宋" w:hAnsi="仿宋" w:eastAsia="仿宋" w:cs="仿宋"/>
          <w:b/>
          <w:bCs/>
          <w:sz w:val="28"/>
          <w:szCs w:val="28"/>
          <w:lang w:val="en-US" w:eastAsia="zh-CN"/>
        </w:rPr>
      </w:pPr>
      <w:r>
        <w:rPr>
          <w:rFonts w:hint="eastAsia" w:ascii="仿宋" w:hAnsi="仿宋" w:eastAsia="仿宋" w:cs="仿宋"/>
          <w:b w:val="0"/>
          <w:bCs w:val="0"/>
          <w:sz w:val="28"/>
          <w:szCs w:val="28"/>
          <w:lang w:val="en-US" w:eastAsia="zh-CN"/>
        </w:rPr>
        <w:t>“见义勇为”奖：见义勇为，积极弘扬社会正气的学生</w:t>
      </w:r>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rPr>
          <w:rFonts w:hint="eastAsia" w:ascii="仿宋" w:hAnsi="仿宋" w:eastAsia="仿宋" w:cs="仿宋"/>
          <w:b/>
          <w:bCs/>
          <w:sz w:val="28"/>
          <w:szCs w:val="28"/>
          <w:lang w:val="en-US" w:eastAsia="zh-CN"/>
        </w:rPr>
      </w:pPr>
      <w:r>
        <w:rPr>
          <w:rFonts w:hint="eastAsia" w:ascii="仿宋" w:hAnsi="仿宋" w:eastAsia="仿宋" w:cs="仿宋"/>
          <w:b w:val="0"/>
          <w:bCs w:val="0"/>
          <w:sz w:val="28"/>
          <w:szCs w:val="28"/>
          <w:lang w:val="en-US" w:eastAsia="zh-CN"/>
        </w:rPr>
        <w:t>“自强不息”奖：家庭经济困难且学习勤奋，自强不息，德、智、体、全面发展，在经济困难学生中有突出表现的学生</w:t>
      </w:r>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rPr>
          <w:rFonts w:hint="eastAsia" w:ascii="仿宋" w:hAnsi="仿宋" w:eastAsia="仿宋" w:cs="仿宋"/>
          <w:b/>
          <w:bCs/>
          <w:sz w:val="28"/>
          <w:szCs w:val="28"/>
          <w:lang w:val="en-US" w:eastAsia="zh-CN"/>
        </w:rPr>
      </w:pPr>
      <w:r>
        <w:rPr>
          <w:rFonts w:hint="eastAsia" w:ascii="仿宋" w:hAnsi="仿宋" w:eastAsia="仿宋" w:cs="仿宋"/>
          <w:b w:val="0"/>
          <w:bCs w:val="0"/>
          <w:sz w:val="28"/>
          <w:szCs w:val="28"/>
          <w:lang w:val="en-US" w:eastAsia="zh-CN"/>
        </w:rPr>
        <w:t>“乐于助人”奖：助人为乐，积极帮助他人排忧解难，道德高尚的学生</w:t>
      </w:r>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rPr>
          <w:rFonts w:hint="eastAsia" w:ascii="仿宋" w:hAnsi="仿宋" w:eastAsia="仿宋" w:cs="仿宋"/>
          <w:b/>
          <w:bCs/>
          <w:sz w:val="28"/>
          <w:szCs w:val="28"/>
          <w:lang w:val="en-US" w:eastAsia="zh-CN"/>
        </w:rPr>
      </w:pPr>
      <w:r>
        <w:rPr>
          <w:rFonts w:hint="eastAsia" w:ascii="仿宋" w:hAnsi="仿宋" w:eastAsia="仿宋" w:cs="仿宋"/>
          <w:b w:val="0"/>
          <w:bCs w:val="0"/>
          <w:sz w:val="28"/>
          <w:szCs w:val="28"/>
          <w:lang w:val="en-US" w:eastAsia="zh-CN"/>
        </w:rPr>
        <w:t>“甘于奉献”奖：兢兢业业，不辞劳苦，不计个人得失的优秀学生干部</w:t>
      </w:r>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基金的管理：</w:t>
      </w:r>
    </w:p>
    <w:p>
      <w:pPr>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由高富浪同学亲属、北京交通大学教育基金会、学生资助管理中心和土建建筑工程学院共同成立“高富浪奖励基金”管理小组每年召开一次会议研讨基金的使用情况，并接受教育基金会监事及有关职能部门的监督；</w:t>
      </w:r>
    </w:p>
    <w:p>
      <w:pPr>
        <w:keepNext w:val="0"/>
        <w:keepLines w:val="0"/>
        <w:pageBreakBefore w:val="0"/>
        <w:widowControl w:val="0"/>
        <w:numPr>
          <w:ilvl w:val="0"/>
          <w:numId w:val="19"/>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“高富浪奖励基金”由北京交通大学教育基金会设立专用账户统一管理，专款专用；</w:t>
      </w:r>
    </w:p>
    <w:p>
      <w:pPr>
        <w:keepNext w:val="0"/>
        <w:keepLines w:val="0"/>
        <w:pageBreakBefore w:val="0"/>
        <w:widowControl w:val="0"/>
        <w:numPr>
          <w:ilvl w:val="0"/>
          <w:numId w:val="19"/>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基金捐赠人有权向基金会秘书处查询捐赠资金使用、管路情况，并提出意见和建议。对于捐赠人的查询，基金会秘书处应当及时如实答复；</w:t>
      </w:r>
    </w:p>
    <w:p>
      <w:pPr>
        <w:keepNext w:val="0"/>
        <w:keepLines w:val="0"/>
        <w:pageBreakBefore w:val="0"/>
        <w:widowControl w:val="0"/>
        <w:numPr>
          <w:ilvl w:val="0"/>
          <w:numId w:val="19"/>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对基金会违反捐赠协议使用捐赠财产的，捐赠人有权要求基金会遵守捐赠协议或者解除捐赠协议。</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200" w:right="0" w:rightChars="0"/>
        <w:jc w:val="both"/>
        <w:textAlignment w:val="auto"/>
        <w:outlineLvl w:val="9"/>
        <w:rPr>
          <w:rFonts w:hint="eastAsia" w:ascii="仿宋" w:hAnsi="仿宋" w:eastAsia="仿宋" w:cs="仿宋"/>
          <w:sz w:val="28"/>
          <w:szCs w:val="28"/>
          <w:lang w:val="en-US" w:eastAsia="zh-CN"/>
        </w:rPr>
      </w:pPr>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 w:hAnsi="仿宋" w:eastAsia="仿宋" w:cs="仿宋"/>
          <w:b w:val="0"/>
          <w:bCs w:val="0"/>
          <w:sz w:val="28"/>
          <w:szCs w:val="28"/>
          <w:lang w:val="en-US" w:eastAsia="zh-CN"/>
        </w:rPr>
      </w:pPr>
    </w:p>
    <w:p>
      <w:pPr>
        <w:pStyle w:val="2"/>
        <w:keepNext/>
        <w:keepLines/>
        <w:pageBreakBefore w:val="0"/>
        <w:widowControl w:val="0"/>
        <w:numPr>
          <w:ilvl w:val="0"/>
          <w:numId w:val="1"/>
        </w:numPr>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0"/>
        <w:rPr>
          <w:rFonts w:hint="eastAsia" w:ascii="黑体" w:hAnsi="黑体" w:eastAsia="黑体" w:cs="黑体"/>
          <w:b w:val="0"/>
          <w:bCs/>
          <w:sz w:val="30"/>
          <w:szCs w:val="30"/>
          <w:lang w:val="en-US" w:eastAsia="zh-CN"/>
        </w:rPr>
      </w:pPr>
      <w:bookmarkStart w:id="4" w:name="_Toc25553"/>
      <w:r>
        <w:rPr>
          <w:rFonts w:hint="eastAsia" w:ascii="黑体" w:hAnsi="黑体" w:eastAsia="黑体" w:cs="黑体"/>
          <w:b w:val="0"/>
          <w:bCs/>
          <w:sz w:val="30"/>
          <w:szCs w:val="30"/>
          <w:lang w:val="en-US" w:eastAsia="zh-CN"/>
        </w:rPr>
        <w:t>宝钢教育奖</w:t>
      </w:r>
      <w:bookmarkEnd w:id="4"/>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项目号：</w:t>
      </w:r>
      <w:r>
        <w:rPr>
          <w:rFonts w:hint="eastAsia" w:ascii="仿宋" w:hAnsi="仿宋" w:eastAsia="仿宋" w:cs="仿宋"/>
          <w:b w:val="0"/>
          <w:bCs w:val="0"/>
          <w:sz w:val="28"/>
          <w:szCs w:val="28"/>
          <w:lang w:val="en-US" w:eastAsia="zh-CN"/>
        </w:rPr>
        <w:t>99010035</w:t>
      </w:r>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捐赠方：</w:t>
      </w:r>
      <w:r>
        <w:rPr>
          <w:rFonts w:hint="eastAsia" w:ascii="仿宋" w:hAnsi="仿宋" w:eastAsia="仿宋" w:cs="仿宋"/>
          <w:b w:val="0"/>
          <w:bCs w:val="0"/>
          <w:sz w:val="28"/>
          <w:szCs w:val="28"/>
          <w:lang w:val="en-US" w:eastAsia="zh-CN"/>
        </w:rPr>
        <w:t>宝钢教育基金会</w:t>
      </w:r>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 w:hAnsi="仿宋" w:eastAsia="仿宋" w:cs="仿宋"/>
          <w:sz w:val="28"/>
          <w:szCs w:val="28"/>
        </w:rPr>
      </w:pPr>
      <w:r>
        <w:rPr>
          <w:rFonts w:hint="eastAsia" w:ascii="仿宋" w:hAnsi="仿宋" w:eastAsia="仿宋" w:cs="仿宋"/>
          <w:b/>
          <w:bCs/>
          <w:sz w:val="28"/>
          <w:szCs w:val="28"/>
          <w:lang w:val="en-US" w:eastAsia="zh-CN"/>
        </w:rPr>
        <w:t>评选范围：</w:t>
      </w:r>
      <w:r>
        <w:rPr>
          <w:rFonts w:hint="eastAsia" w:ascii="仿宋" w:hAnsi="仿宋" w:eastAsia="仿宋" w:cs="仿宋"/>
          <w:b w:val="0"/>
          <w:bCs w:val="0"/>
          <w:sz w:val="28"/>
          <w:szCs w:val="28"/>
          <w:lang w:val="en-US" w:eastAsia="zh-CN"/>
        </w:rPr>
        <w:t>北京交通大学</w:t>
      </w:r>
      <w:r>
        <w:rPr>
          <w:rFonts w:hint="eastAsia" w:ascii="仿宋" w:hAnsi="仿宋" w:eastAsia="仿宋" w:cs="仿宋"/>
          <w:sz w:val="28"/>
          <w:szCs w:val="28"/>
        </w:rPr>
        <w:t>宝钢教育奖评审学校和评审单位在籍的大专生、本科生、研究生</w:t>
      </w:r>
    </w:p>
    <w:p>
      <w:p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名额及金额：</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textAlignment w:val="auto"/>
        <w:outlineLvl w:val="9"/>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名额</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200" w:right="0" w:rightChars="0" w:firstLine="280" w:firstLineChars="1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我校可推荐宝钢优秀学生奖5人，即3名本科生，2名研究生，其中可择优评选出宝钢优秀学生特等奖提名人1名。在学生自荐和学院推荐的基础上，每个学院可至多推荐宝钢优秀学生奖2名（本科生1名，研究生1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textAlignment w:val="auto"/>
        <w:outlineLvl w:val="9"/>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金额</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宝钢优秀学生奖：</w:t>
      </w:r>
      <w:r>
        <w:rPr>
          <w:rFonts w:hint="eastAsia" w:ascii="仿宋" w:hAnsi="仿宋" w:eastAsia="仿宋" w:cs="仿宋"/>
          <w:sz w:val="28"/>
          <w:szCs w:val="28"/>
        </w:rPr>
        <w:t>1</w:t>
      </w:r>
      <w:r>
        <w:rPr>
          <w:rFonts w:hint="eastAsia" w:ascii="仿宋" w:hAnsi="仿宋" w:eastAsia="仿宋" w:cs="仿宋"/>
          <w:sz w:val="28"/>
          <w:szCs w:val="28"/>
          <w:lang w:val="en-US" w:eastAsia="zh-CN"/>
        </w:rPr>
        <w:t>0000元/人˙年</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eastAsia="zh-CN"/>
        </w:rPr>
        <w:t>宝钢优秀学生特等奖：</w:t>
      </w:r>
      <w:r>
        <w:rPr>
          <w:rFonts w:hint="eastAsia" w:ascii="仿宋" w:hAnsi="仿宋" w:eastAsia="仿宋" w:cs="仿宋"/>
          <w:sz w:val="28"/>
          <w:szCs w:val="28"/>
        </w:rPr>
        <w:t>2</w:t>
      </w:r>
      <w:r>
        <w:rPr>
          <w:rFonts w:hint="eastAsia" w:ascii="仿宋" w:hAnsi="仿宋" w:eastAsia="仿宋" w:cs="仿宋"/>
          <w:sz w:val="28"/>
          <w:szCs w:val="28"/>
          <w:lang w:val="en-US" w:eastAsia="zh-CN"/>
        </w:rPr>
        <w:t>0000元/人˙年</w:t>
      </w:r>
    </w:p>
    <w:p>
      <w:p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评选条件：</w:t>
      </w:r>
    </w:p>
    <w:p>
      <w:pPr>
        <w:keepNext w:val="0"/>
        <w:keepLines w:val="0"/>
        <w:pageBreakBefore w:val="0"/>
        <w:widowControl w:val="0"/>
        <w:numPr>
          <w:ilvl w:val="0"/>
          <w:numId w:val="20"/>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热爱祖国，拥护中国共产党的领导，模范遵守国家法律和校纪校规，具有良好的道德品质和行为习惯，诚实守信；</w:t>
      </w:r>
    </w:p>
    <w:p>
      <w:pPr>
        <w:keepNext w:val="0"/>
        <w:keepLines w:val="0"/>
        <w:pageBreakBefore w:val="0"/>
        <w:widowControl w:val="0"/>
        <w:numPr>
          <w:ilvl w:val="0"/>
          <w:numId w:val="20"/>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勤奋学习，成绩优秀，具有一定的学习能力、创新能力、动手能力、灵活运用知识能力、口头与书面语言表达能力(以下简称五种能力)；研究生还应具有较强的科研能力，并取得一定的优秀研究成果；</w:t>
      </w:r>
    </w:p>
    <w:p>
      <w:pPr>
        <w:keepNext w:val="0"/>
        <w:keepLines w:val="0"/>
        <w:pageBreakBefore w:val="0"/>
        <w:widowControl w:val="0"/>
        <w:numPr>
          <w:ilvl w:val="0"/>
          <w:numId w:val="20"/>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尊重师长，友爱同学，乐于助人，积极参加社会实践和公益活动，能承担社会工作，具有团结协作精神；</w:t>
      </w:r>
    </w:p>
    <w:p>
      <w:pPr>
        <w:keepNext w:val="0"/>
        <w:keepLines w:val="0"/>
        <w:pageBreakBefore w:val="0"/>
        <w:widowControl w:val="0"/>
        <w:numPr>
          <w:ilvl w:val="0"/>
          <w:numId w:val="20"/>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积极参加体育锻炼，身心健康，乐观进取。</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 w:hAnsi="仿宋" w:eastAsia="仿宋" w:cs="仿宋"/>
          <w:b/>
          <w:bCs/>
          <w:sz w:val="28"/>
          <w:szCs w:val="28"/>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宝钢教育奖评颁实施细则</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宝钢教育奖是宝钢教育基金会支持中国高等教育的一项主要公益事业。为了做好宝钢教育奖的评颁工作，根据《宝钢教育基金会章程》特制订本细则。</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 w:hAnsi="仿宋" w:eastAsia="仿宋" w:cs="仿宋"/>
          <w:b/>
          <w:bCs/>
          <w:sz w:val="28"/>
          <w:szCs w:val="28"/>
        </w:rPr>
      </w:pPr>
      <w:r>
        <w:rPr>
          <w:rFonts w:hint="eastAsia" w:ascii="仿宋" w:hAnsi="仿宋" w:eastAsia="仿宋" w:cs="仿宋"/>
          <w:b/>
          <w:bCs/>
          <w:sz w:val="28"/>
          <w:szCs w:val="28"/>
          <w:lang w:eastAsia="zh-CN"/>
        </w:rPr>
        <w:t>第一章</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rPr>
        <w:t>总则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28"/>
          <w:szCs w:val="28"/>
        </w:rPr>
      </w:pPr>
      <w:r>
        <w:rPr>
          <w:rFonts w:hint="eastAsia" w:ascii="仿宋" w:hAnsi="仿宋" w:eastAsia="仿宋" w:cs="仿宋"/>
          <w:sz w:val="28"/>
          <w:szCs w:val="28"/>
        </w:rPr>
        <w:t xml:space="preserve">第一条  宝钢教育奖设宝钢优秀学生奖、宝钢优秀学生特等奖、宝钢优秀教师奖、宝钢优秀教师特等奖和宝钢优秀教师特等奖提名奖五个奖项，每年评颁一次。 </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28"/>
          <w:szCs w:val="28"/>
        </w:rPr>
      </w:pPr>
      <w:r>
        <w:rPr>
          <w:rFonts w:hint="eastAsia" w:ascii="仿宋" w:hAnsi="仿宋" w:eastAsia="仿宋" w:cs="仿宋"/>
          <w:sz w:val="28"/>
          <w:szCs w:val="28"/>
        </w:rPr>
        <w:t>第二条  宝钢教育奖在以教育部直属高等院校为主的全国部分高等院校（以下简称评审学校）和上海市教育委员会与中国冶金教育学会（以下简称评审单位）设立一定数量的宝钢优秀学生奖和宝钢优秀教师奖奖励名额。</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28"/>
          <w:szCs w:val="28"/>
        </w:rPr>
      </w:pPr>
      <w:r>
        <w:rPr>
          <w:rFonts w:hint="eastAsia" w:ascii="仿宋" w:hAnsi="仿宋" w:eastAsia="仿宋" w:cs="仿宋"/>
          <w:sz w:val="28"/>
          <w:szCs w:val="28"/>
        </w:rPr>
        <w:t>第三条  宝钢教育奖的评审工作，由宝钢教育基金会设立的专门委员会——宝钢教育奖评审工作委员会负责评审和管理。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28"/>
          <w:szCs w:val="28"/>
        </w:rPr>
      </w:pPr>
      <w:r>
        <w:rPr>
          <w:rFonts w:hint="eastAsia" w:ascii="仿宋" w:hAnsi="仿宋" w:eastAsia="仿宋" w:cs="仿宋"/>
          <w:sz w:val="28"/>
          <w:szCs w:val="28"/>
        </w:rPr>
        <w:t>第四条  宝钢教育奖评审工作委员会设主任委员，副主任委员和委员。主任委员、副主任委员由宝钢教育基金会理事会委任；委员由评审学校、评审单位的领导和专家学者出任。宝钢教育奖评审工作委员会的日常工作由宝钢教育基金会秘书处负责。</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28"/>
          <w:szCs w:val="28"/>
        </w:rPr>
      </w:pPr>
      <w:r>
        <w:rPr>
          <w:rFonts w:hint="eastAsia" w:ascii="仿宋" w:hAnsi="仿宋" w:eastAsia="仿宋" w:cs="仿宋"/>
          <w:sz w:val="28"/>
          <w:szCs w:val="28"/>
        </w:rPr>
        <w:t>宝钢教育基金会的顾问同时也是宝钢教育奖评审工作委员会的顾问，他们可以自愿参加宝钢教育奖的评审工作。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28"/>
          <w:szCs w:val="28"/>
        </w:rPr>
      </w:pPr>
      <w:r>
        <w:rPr>
          <w:rFonts w:hint="eastAsia" w:ascii="仿宋" w:hAnsi="仿宋" w:eastAsia="仿宋" w:cs="仿宋"/>
          <w:sz w:val="28"/>
          <w:szCs w:val="28"/>
        </w:rPr>
        <w:t>第五条  评审学校、评审单位应相应成立本学校、本单位的宝钢教育奖评审工作领导小组，负责本学校、本单位宝钢教育奖的宣传、申报、评审和颁奖工作，并在本学校、本单位内指定一个部门与宝钢教育基金会秘书处对口联系、开展工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28"/>
          <w:szCs w:val="28"/>
        </w:rPr>
      </w:pPr>
      <w:r>
        <w:rPr>
          <w:rFonts w:hint="eastAsia" w:ascii="仿宋" w:hAnsi="仿宋" w:eastAsia="仿宋" w:cs="仿宋"/>
          <w:sz w:val="28"/>
          <w:szCs w:val="28"/>
        </w:rPr>
        <w:t>第六条  为鼓励台湾学生、港澳学生来内地普通高校、科研院所就读，增强台湾学生对祖国的认同感和港澳学生的祖国观念，激励他们勤奋学习，积极进取，宝钢教育基金会特在宝钢优秀学生奖中增设了台湾地区学生奖和港澳地区学生奖，并在中国人民大学、北京大学、清华大学、南开大学、上海交通大学、复旦大学、华中科技大学、武汉大学、中山大学、中国政法大学、厦门大学、南京中医药大学试行。</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第二章　奖励金额和名额</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28"/>
          <w:szCs w:val="28"/>
        </w:rPr>
      </w:pPr>
      <w:r>
        <w:rPr>
          <w:rFonts w:hint="eastAsia" w:ascii="仿宋" w:hAnsi="仿宋" w:eastAsia="仿宋" w:cs="仿宋"/>
          <w:sz w:val="28"/>
          <w:szCs w:val="28"/>
        </w:rPr>
        <w:t>第七条  宝钢教育奖奖励金额和奖励名额。</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28"/>
          <w:szCs w:val="28"/>
        </w:rPr>
      </w:pPr>
      <w:r>
        <w:rPr>
          <w:rFonts w:hint="eastAsia" w:ascii="仿宋" w:hAnsi="仿宋" w:eastAsia="仿宋" w:cs="仿宋"/>
          <w:sz w:val="28"/>
          <w:szCs w:val="28"/>
        </w:rPr>
        <w:t>宝钢优秀学生奖（含台湾地区、港澳地区）：金额为1万元／人，每年 500名左右（其中台湾地区、港澳地区学生100名左右）；</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28"/>
          <w:szCs w:val="28"/>
        </w:rPr>
      </w:pPr>
      <w:r>
        <w:rPr>
          <w:rFonts w:hint="eastAsia" w:ascii="仿宋" w:hAnsi="仿宋" w:eastAsia="仿宋" w:cs="仿宋"/>
          <w:sz w:val="28"/>
          <w:szCs w:val="28"/>
        </w:rPr>
        <w:t>宝钢优秀学生特等奖：金额为2万元／人，每年25名；</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28"/>
          <w:szCs w:val="28"/>
        </w:rPr>
      </w:pPr>
      <w:r>
        <w:rPr>
          <w:rFonts w:hint="eastAsia" w:ascii="仿宋" w:hAnsi="仿宋" w:eastAsia="仿宋" w:cs="仿宋"/>
          <w:sz w:val="28"/>
          <w:szCs w:val="28"/>
        </w:rPr>
        <w:t>宝钢优秀教师奖：金额为1万元／人，每年270名；</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28"/>
          <w:szCs w:val="28"/>
        </w:rPr>
      </w:pPr>
      <w:r>
        <w:rPr>
          <w:rFonts w:hint="eastAsia" w:ascii="仿宋" w:hAnsi="仿宋" w:eastAsia="仿宋" w:cs="仿宋"/>
          <w:sz w:val="28"/>
          <w:szCs w:val="28"/>
        </w:rPr>
        <w:t>宝钢优秀教师特等奖：金额为10万元/人，每年10名；</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28"/>
          <w:szCs w:val="28"/>
        </w:rPr>
      </w:pPr>
      <w:r>
        <w:rPr>
          <w:rFonts w:hint="eastAsia" w:ascii="仿宋" w:hAnsi="仿宋" w:eastAsia="仿宋" w:cs="仿宋"/>
          <w:sz w:val="28"/>
          <w:szCs w:val="28"/>
        </w:rPr>
        <w:t>宝钢优秀教师特等奖提名奖：金额为3万元/人，每年名额不定。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28"/>
          <w:szCs w:val="28"/>
        </w:rPr>
      </w:pPr>
      <w:r>
        <w:rPr>
          <w:rFonts w:hint="eastAsia" w:ascii="仿宋" w:hAnsi="仿宋" w:eastAsia="仿宋" w:cs="仿宋"/>
          <w:sz w:val="28"/>
          <w:szCs w:val="28"/>
        </w:rPr>
        <w:t>第八条  宝钢教育奖评审工作委员会于每年参照上一年各评审学校、评审单位的学生奖、教师奖名额，并根据上一年度各评审学校、评审单位评审出的宝钢优秀学生奖与宝钢优秀教师奖的质量情况，分配本年度各评审学校、评审单位的宝钢优秀学生奖与宝钢优秀教师奖及宝钢优秀学生特等奖提名人、宝钢优秀教师特等奖提名人的名额。</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28"/>
          <w:szCs w:val="28"/>
        </w:rPr>
      </w:pPr>
      <w:r>
        <w:rPr>
          <w:rFonts w:hint="eastAsia" w:ascii="仿宋" w:hAnsi="仿宋" w:eastAsia="仿宋" w:cs="仿宋"/>
          <w:sz w:val="28"/>
          <w:szCs w:val="28"/>
        </w:rPr>
        <w:t>第九条  为了表彰全国其它高等院校有突出表现和贡献的优秀学生与优秀教师，特在非评审学校、非评审单位设立少量机动名额:宝钢优秀学生奖6名，宝钢优秀教师奖5名。申报的学生和教师须由评审学校或评审单位推荐（申报、推荐及程序见第十九条）。</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第三章　申报及评选条件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28"/>
          <w:szCs w:val="28"/>
        </w:rPr>
      </w:pPr>
      <w:r>
        <w:rPr>
          <w:rFonts w:hint="eastAsia" w:ascii="仿宋" w:hAnsi="仿宋" w:eastAsia="仿宋" w:cs="仿宋"/>
          <w:sz w:val="28"/>
          <w:szCs w:val="28"/>
        </w:rPr>
        <w:t>第十条  宝钢教育奖申报对象主要为宝钢教育奖评审学校和评审单位在籍的大专生、本科生、研究生和从事教育教学工作5年及以上的在编教师。</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28"/>
          <w:szCs w:val="28"/>
        </w:rPr>
      </w:pPr>
      <w:r>
        <w:rPr>
          <w:rFonts w:hint="eastAsia" w:ascii="仿宋" w:hAnsi="仿宋" w:eastAsia="仿宋" w:cs="仿宋"/>
          <w:sz w:val="28"/>
          <w:szCs w:val="28"/>
        </w:rPr>
        <w:t>第十一条  申报宝钢优秀学生奖的条件。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28"/>
          <w:szCs w:val="28"/>
        </w:rPr>
      </w:pPr>
      <w:r>
        <w:rPr>
          <w:rFonts w:hint="eastAsia" w:ascii="仿宋" w:hAnsi="仿宋" w:eastAsia="仿宋" w:cs="仿宋"/>
          <w:sz w:val="28"/>
          <w:szCs w:val="28"/>
        </w:rPr>
        <w:t>1、热爱祖国，拥护中国共产党的领导，模范遵守国家法律和校纪校规，具有良好的道德品质和行为习惯，诚实守信。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28"/>
          <w:szCs w:val="28"/>
        </w:rPr>
      </w:pPr>
      <w:r>
        <w:rPr>
          <w:rFonts w:hint="eastAsia" w:ascii="仿宋" w:hAnsi="仿宋" w:eastAsia="仿宋" w:cs="仿宋"/>
          <w:sz w:val="28"/>
          <w:szCs w:val="28"/>
        </w:rPr>
        <w:t>2、勤奋学习，成绩优秀，具有一定的学习能力、创新能力、动手能力、灵活运用知识能力、口头与书面语言表达能力(以下简称五种能力)；研究生还应具有较强的科研能力，并取得一定的优秀研究成果。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28"/>
          <w:szCs w:val="28"/>
        </w:rPr>
      </w:pPr>
      <w:r>
        <w:rPr>
          <w:rFonts w:hint="eastAsia" w:ascii="仿宋" w:hAnsi="仿宋" w:eastAsia="仿宋" w:cs="仿宋"/>
          <w:sz w:val="28"/>
          <w:szCs w:val="28"/>
        </w:rPr>
        <w:t>3、尊重师长，友爱同学，乐于助人，积极参加社会实践和公益活动，能承担社会工作，具有团结协作精神。</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28"/>
          <w:szCs w:val="28"/>
        </w:rPr>
      </w:pPr>
      <w:r>
        <w:rPr>
          <w:rFonts w:hint="eastAsia" w:ascii="仿宋" w:hAnsi="仿宋" w:eastAsia="仿宋" w:cs="仿宋"/>
          <w:sz w:val="28"/>
          <w:szCs w:val="28"/>
        </w:rPr>
        <w:t>4、积极参加体育锻炼，身心健康，乐观进取。</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28"/>
          <w:szCs w:val="28"/>
        </w:rPr>
      </w:pPr>
      <w:r>
        <w:rPr>
          <w:rFonts w:hint="eastAsia" w:ascii="仿宋" w:hAnsi="仿宋" w:eastAsia="仿宋" w:cs="仿宋"/>
          <w:sz w:val="28"/>
          <w:szCs w:val="28"/>
        </w:rPr>
        <w:t>第十二条  申报宝钢优秀学生奖（台湾地区、港澳地区）的条件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28"/>
          <w:szCs w:val="28"/>
        </w:rPr>
      </w:pPr>
      <w:r>
        <w:rPr>
          <w:rFonts w:hint="eastAsia" w:ascii="仿宋" w:hAnsi="仿宋" w:eastAsia="仿宋" w:cs="仿宋"/>
          <w:sz w:val="28"/>
          <w:szCs w:val="28"/>
        </w:rPr>
        <w:t>1、认同一个中国；自觉遵守国家法律、法规，遵守学校各项规章制度；</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28"/>
          <w:szCs w:val="28"/>
        </w:rPr>
      </w:pPr>
      <w:r>
        <w:rPr>
          <w:rFonts w:hint="eastAsia" w:ascii="仿宋" w:hAnsi="仿宋" w:eastAsia="仿宋" w:cs="仿宋"/>
          <w:sz w:val="28"/>
          <w:szCs w:val="28"/>
        </w:rPr>
        <w:t>2、诚实守信、身心健康、乐观进取，尊重师长、友爱同学、乐于助人，有良好的道德修养；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28"/>
          <w:szCs w:val="28"/>
        </w:rPr>
      </w:pPr>
      <w:r>
        <w:rPr>
          <w:rFonts w:hint="eastAsia" w:ascii="仿宋" w:hAnsi="仿宋" w:eastAsia="仿宋" w:cs="仿宋"/>
          <w:sz w:val="28"/>
          <w:szCs w:val="28"/>
        </w:rPr>
        <w:t>3、入学考试成绩优秀或在校期间勤奋刻苦、成绩优良。</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28"/>
          <w:szCs w:val="28"/>
        </w:rPr>
      </w:pPr>
      <w:r>
        <w:rPr>
          <w:rFonts w:hint="eastAsia" w:ascii="仿宋" w:hAnsi="仿宋" w:eastAsia="仿宋" w:cs="仿宋"/>
          <w:sz w:val="28"/>
          <w:szCs w:val="28"/>
        </w:rPr>
        <w:t>第十三条　宝钢优秀学生奖获得者中的特别优秀者，经评审学校或评审单位提名，可参与宝钢优秀学生特等奖的评选（评选程序见第二十条）。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28"/>
          <w:szCs w:val="28"/>
        </w:rPr>
      </w:pPr>
      <w:r>
        <w:rPr>
          <w:rFonts w:hint="eastAsia" w:ascii="仿宋" w:hAnsi="仿宋" w:eastAsia="仿宋" w:cs="仿宋"/>
          <w:sz w:val="28"/>
          <w:szCs w:val="28"/>
        </w:rPr>
        <w:t>第十四条  申报宝钢优秀教师奖的条件。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28"/>
          <w:szCs w:val="28"/>
        </w:rPr>
      </w:pPr>
      <w:r>
        <w:rPr>
          <w:rFonts w:hint="eastAsia" w:ascii="仿宋" w:hAnsi="仿宋" w:eastAsia="仿宋" w:cs="仿宋"/>
          <w:sz w:val="28"/>
          <w:szCs w:val="28"/>
        </w:rPr>
        <w:t>1、忠诚党的教育事业，有强烈的事业心和团结协作精神，爱岗敬业，师德高尚，治学严谨，教书育人。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28"/>
          <w:szCs w:val="28"/>
        </w:rPr>
      </w:pPr>
      <w:r>
        <w:rPr>
          <w:rFonts w:hint="eastAsia" w:ascii="仿宋" w:hAnsi="仿宋" w:eastAsia="仿宋" w:cs="仿宋"/>
          <w:sz w:val="28"/>
          <w:szCs w:val="28"/>
        </w:rPr>
        <w:t>2、坚持工作在教学第一线，近三年连续承担本科生教学任务，每学年完成本科公共基础课或专业基础课授课在64学时以上，且教学效果好，深受学生和同行好评。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28"/>
          <w:szCs w:val="28"/>
        </w:rPr>
      </w:pPr>
      <w:r>
        <w:rPr>
          <w:rFonts w:hint="eastAsia" w:ascii="仿宋" w:hAnsi="仿宋" w:eastAsia="仿宋" w:cs="仿宋"/>
          <w:sz w:val="28"/>
          <w:szCs w:val="28"/>
        </w:rPr>
        <w:t>3、积极参与教育教学改革和教学基本建设，在教学内容、教材、方法、手段改革方面取得显著成果，获省部级及以上教学成果奖，或在核心期刊及以上刊物上发表教育教学研究论文，或有正式出版的教材、专著等。</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28"/>
          <w:szCs w:val="28"/>
        </w:rPr>
      </w:pPr>
      <w:r>
        <w:rPr>
          <w:rFonts w:hint="eastAsia" w:ascii="仿宋" w:hAnsi="仿宋" w:eastAsia="仿宋" w:cs="仿宋"/>
          <w:sz w:val="28"/>
          <w:szCs w:val="28"/>
        </w:rPr>
        <w:t>4、注重因材施教与学生的“五种能力”的培养，并取得显著成效；其直接培养、指导的学生在科学研究、竞赛、设计、创新实践和社会服务等活动中取得突出成绩，获省部级及以上奖励。</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28"/>
          <w:szCs w:val="28"/>
        </w:rPr>
      </w:pPr>
      <w:r>
        <w:rPr>
          <w:rFonts w:hint="eastAsia" w:ascii="仿宋" w:hAnsi="仿宋" w:eastAsia="仿宋" w:cs="仿宋"/>
          <w:sz w:val="28"/>
          <w:szCs w:val="28"/>
        </w:rPr>
        <w:t>5、有与职称相应的学术水平和科研成果，特别是能够将学科前沿知识和科研成果融入教学实践中。</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28"/>
          <w:szCs w:val="28"/>
        </w:rPr>
      </w:pPr>
      <w:r>
        <w:rPr>
          <w:rFonts w:hint="eastAsia" w:ascii="仿宋" w:hAnsi="仿宋" w:eastAsia="仿宋" w:cs="仿宋"/>
          <w:sz w:val="28"/>
          <w:szCs w:val="28"/>
        </w:rPr>
        <w:t>第十五条  宝钢优秀教师奖获得者中的特别优秀者，经评审学校或评审单位提名，可参与宝钢优秀教师特等奖的评选（评选程序见第二十三条）。</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第四章　评选原则及评审程序</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28"/>
          <w:szCs w:val="28"/>
        </w:rPr>
      </w:pPr>
      <w:r>
        <w:rPr>
          <w:rFonts w:hint="eastAsia" w:ascii="仿宋" w:hAnsi="仿宋" w:eastAsia="仿宋" w:cs="仿宋"/>
          <w:sz w:val="28"/>
          <w:szCs w:val="28"/>
        </w:rPr>
        <w:t>第十六条  坚持公开、公平、公正的原则，严格掌握评选标准，严格遵守评审程序，采取自下而上，上下结合的方式进行。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28"/>
          <w:szCs w:val="28"/>
        </w:rPr>
      </w:pPr>
      <w:r>
        <w:rPr>
          <w:rFonts w:hint="eastAsia" w:ascii="仿宋" w:hAnsi="仿宋" w:eastAsia="仿宋" w:cs="仿宋"/>
          <w:sz w:val="28"/>
          <w:szCs w:val="28"/>
        </w:rPr>
        <w:t>第十七条  评选中要注重申报人的思想政治素质，全面衡量申报人的各方面表现。在此基础上：对申报学生要侧重对其“五种能力”以及自我养成意识的考核；对申报教师要侧重其对学生思想政治素质的教育和影响，以及对学生“五种能力”培养成效的考核。并注意向从事基础课教学工作的教师以及中青年教师倾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28"/>
          <w:szCs w:val="28"/>
        </w:rPr>
      </w:pPr>
      <w:r>
        <w:rPr>
          <w:rFonts w:hint="eastAsia" w:ascii="仿宋" w:hAnsi="仿宋" w:eastAsia="仿宋" w:cs="仿宋"/>
          <w:sz w:val="28"/>
          <w:szCs w:val="28"/>
        </w:rPr>
        <w:t>第十八条  候选人一旦确定，应在一定范围内张榜公示。获奖者应为本单位绝大多数师生所认同。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28"/>
          <w:szCs w:val="28"/>
        </w:rPr>
      </w:pPr>
      <w:r>
        <w:rPr>
          <w:rFonts w:hint="eastAsia" w:ascii="仿宋" w:hAnsi="仿宋" w:eastAsia="仿宋" w:cs="仿宋"/>
          <w:sz w:val="28"/>
          <w:szCs w:val="28"/>
        </w:rPr>
        <w:t>第十九条  宝钢优秀学生奖、宝钢优秀教师奖由评审学校或评审单位评定，报宝钢教育基金会秘书处备案；对宝钢优秀学生特等奖提名人、宝钢优秀教师特等奖提名人，评审学校或评审单位须在《评审表》“学校意见”或“单位意见”栏中，简明扼要地写出推荐意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28"/>
          <w:szCs w:val="28"/>
        </w:rPr>
      </w:pPr>
      <w:r>
        <w:rPr>
          <w:rFonts w:hint="eastAsia" w:ascii="仿宋" w:hAnsi="仿宋" w:eastAsia="仿宋" w:cs="仿宋"/>
          <w:sz w:val="28"/>
          <w:szCs w:val="28"/>
        </w:rPr>
        <w:t>第二十条  非评审学校、非评审单位申报宝钢教育奖的学生或教师，经评审学校或评审单位推荐后，须由本人按要求填写非评审学校、非评审单位的宝钢优秀学生、宝钢优秀教师《评审表》；其真实性由推荐学校或推荐单位确认。学生或教师《评审表》首先由其本人所在学校在 《评审表》“学校综合评价意见”栏填写学校意见，由学校领导签名并加盖学校公章。尔后由推荐学校或推荐单位在《评审表》“推荐学校意见”或“推荐单位意见”栏中填写推荐意见，由推荐学校领导或推荐单位领导签名与加盖公章，并由推荐学校或推荐单位按要求完成申报和后续工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28"/>
          <w:szCs w:val="28"/>
        </w:rPr>
      </w:pPr>
      <w:r>
        <w:rPr>
          <w:rFonts w:hint="eastAsia" w:ascii="仿宋" w:hAnsi="仿宋" w:eastAsia="仿宋" w:cs="仿宋"/>
          <w:sz w:val="28"/>
          <w:szCs w:val="28"/>
        </w:rPr>
        <w:t>第二十一条  评审学校或评审单位推荐非评审学校、非评审单位申报宝钢教育奖的学生或教师，原则上每年只能推荐1名宝钢优秀学生候选人或宝钢优秀教师候选人。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28"/>
          <w:szCs w:val="28"/>
        </w:rPr>
      </w:pPr>
      <w:r>
        <w:rPr>
          <w:rFonts w:hint="eastAsia" w:ascii="仿宋" w:hAnsi="仿宋" w:eastAsia="仿宋" w:cs="仿宋"/>
          <w:sz w:val="28"/>
          <w:szCs w:val="28"/>
        </w:rPr>
        <w:t>非评审学校、非评审单位申报宝钢教育奖的学生或老师，其《评审表》由宝钢教育基金会秘书处经过资格审定后，委托上海市教育委员会评审组进行评选，并提出入选名单，由宝钢教育奖评审工作委员会最终确认。</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28"/>
          <w:szCs w:val="28"/>
        </w:rPr>
      </w:pPr>
      <w:r>
        <w:rPr>
          <w:rFonts w:hint="eastAsia" w:ascii="仿宋" w:hAnsi="仿宋" w:eastAsia="仿宋" w:cs="仿宋"/>
          <w:sz w:val="28"/>
          <w:szCs w:val="28"/>
        </w:rPr>
        <w:t>第二十二条　宝钢优秀学生特等奖的评选。　</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28"/>
          <w:szCs w:val="28"/>
        </w:rPr>
      </w:pPr>
      <w:r>
        <w:rPr>
          <w:rFonts w:hint="eastAsia" w:ascii="仿宋" w:hAnsi="仿宋" w:eastAsia="仿宋" w:cs="仿宋"/>
          <w:sz w:val="28"/>
          <w:szCs w:val="28"/>
        </w:rPr>
        <w:t>１、各评审学校、评审单位在评选出宝钢优秀学生奖后，可从中择优评出宝钢优秀学生特等奖提名人1名，推荐给宝钢教育奖评审工作委员会。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28"/>
          <w:szCs w:val="28"/>
        </w:rPr>
      </w:pPr>
      <w:r>
        <w:rPr>
          <w:rFonts w:hint="eastAsia" w:ascii="仿宋" w:hAnsi="仿宋" w:eastAsia="仿宋" w:cs="仿宋"/>
          <w:sz w:val="28"/>
          <w:szCs w:val="28"/>
        </w:rPr>
        <w:t>２、宝钢教育基金会秘书处对各评审学校、评审单位推荐的宝钢优秀学生特等奖提名人进行资格审查后，将书面材料寄给各评审学校、评审单位，供主管宝钢教育奖评颁工作的部门评审，并进行通讯表决。</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28"/>
          <w:szCs w:val="28"/>
        </w:rPr>
      </w:pPr>
      <w:r>
        <w:rPr>
          <w:rFonts w:hint="eastAsia" w:ascii="仿宋" w:hAnsi="仿宋" w:eastAsia="仿宋" w:cs="仿宋"/>
          <w:sz w:val="28"/>
          <w:szCs w:val="28"/>
        </w:rPr>
        <w:t>３、宝钢教育基金会秘书处按宝钢优秀学生特等奖提名人通讯表决得票多少，从高到低排列，提交当年宝钢优秀学生特等奖的获奖名单，由宝钢教育奖评审工作委员会最后确认。</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28"/>
          <w:szCs w:val="28"/>
        </w:rPr>
      </w:pPr>
      <w:r>
        <w:rPr>
          <w:rFonts w:hint="eastAsia" w:ascii="仿宋" w:hAnsi="仿宋" w:eastAsia="仿宋" w:cs="仿宋"/>
          <w:sz w:val="28"/>
          <w:szCs w:val="28"/>
        </w:rPr>
        <w:t>第二十三条  宝钢优秀教师特等奖的评选。</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28"/>
          <w:szCs w:val="28"/>
        </w:rPr>
      </w:pPr>
      <w:r>
        <w:rPr>
          <w:rFonts w:hint="eastAsia" w:ascii="仿宋" w:hAnsi="仿宋" w:eastAsia="仿宋" w:cs="仿宋"/>
          <w:sz w:val="28"/>
          <w:szCs w:val="28"/>
        </w:rPr>
        <w:t>1、各评审学校、评审单位在评选出宝钢优秀教师奖后，可从中择优评出宝钢优秀教师特等奖提名人1名，推荐给宝钢教育奖评审工作委员会。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28"/>
          <w:szCs w:val="28"/>
        </w:rPr>
      </w:pPr>
      <w:r>
        <w:rPr>
          <w:rFonts w:hint="eastAsia" w:ascii="仿宋" w:hAnsi="仿宋" w:eastAsia="仿宋" w:cs="仿宋"/>
          <w:sz w:val="28"/>
          <w:szCs w:val="28"/>
        </w:rPr>
        <w:t>2、宝钢教育基金会秘书处对各评审学校、评审单位推荐的宝钢优秀教师特等奖提名人进行资格审查后，提交给宝钢教育奖评审工作委员会各位顾问和委员，供各位顾问和委员评审，并进行通讯表决。</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28"/>
          <w:szCs w:val="28"/>
        </w:rPr>
      </w:pPr>
      <w:r>
        <w:rPr>
          <w:rFonts w:hint="eastAsia" w:ascii="仿宋" w:hAnsi="仿宋" w:eastAsia="仿宋" w:cs="仿宋"/>
          <w:sz w:val="28"/>
          <w:szCs w:val="28"/>
        </w:rPr>
        <w:t>3、宝钢教育奖评审工作委员会在每年年底召开评审工作会议，对宝钢优秀教师特等奖提名人通讯表决结果进行审议。秘书处按候选人在通讯表决中得票票数从高到低排列汇总，将前20名提供给宝钢教育奖评审工作委员会审议。凡是通讯表决得票前10名，且得票数超过表决人数1/2（含1/2），首先确认其入选。确认入选人数不足10人时，在未获确认入选的提名人中，按得票多少往下类推，按缺额的一倍提取，作为第二轮候选人，进行投票补选。在第二次表决中，入选教师须获得出席会议的评委70%以上（含70%）的票数，且按得票数，由高到低补足10名。但审议和表决结果最终评出的宝钢优秀教师特等奖人数不应超过10名。</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28"/>
          <w:szCs w:val="28"/>
        </w:rPr>
      </w:pPr>
      <w:r>
        <w:rPr>
          <w:rFonts w:hint="eastAsia" w:ascii="仿宋" w:hAnsi="仿宋" w:eastAsia="仿宋" w:cs="仿宋"/>
          <w:sz w:val="28"/>
          <w:szCs w:val="28"/>
        </w:rPr>
        <w:t>4、在宝钢优秀教师特等奖第二次表决的候选人，没能入选宝钢优秀教师特等奖的教师，即自动获得宝钢优秀教师特等奖提名奖。</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第五章  评审材料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28"/>
          <w:szCs w:val="28"/>
        </w:rPr>
      </w:pPr>
      <w:r>
        <w:rPr>
          <w:rFonts w:hint="eastAsia" w:ascii="仿宋" w:hAnsi="仿宋" w:eastAsia="仿宋" w:cs="仿宋"/>
          <w:sz w:val="28"/>
          <w:szCs w:val="28"/>
        </w:rPr>
        <w:t>第二十四条  《评审表》中“主要事迹”一栏应具体生动、简明扼要、实事求是地介绍候选教师的业绩和学生在校期间所取得的成绩。教师的事迹应用具体的事例介绍其在教学内容的更新、教学方法和手段的改革、培养和考核学生的能力和素质方面的突出成绩；学生事迹应介绍学生在德、智、体、美、劳诸方面，特别是入校后在“五种能力”方面的现实表现。</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28"/>
          <w:szCs w:val="28"/>
        </w:rPr>
      </w:pPr>
      <w:r>
        <w:rPr>
          <w:rFonts w:hint="eastAsia" w:ascii="仿宋" w:hAnsi="仿宋" w:eastAsia="仿宋" w:cs="仿宋"/>
          <w:sz w:val="28"/>
          <w:szCs w:val="28"/>
        </w:rPr>
        <w:t>第二十五条  申请的教师和学生以及相关单位应实事求是地按照要求认真填写《评审表》中的各项内容。如填写项目出现马虎、敷衍了事者，将取消该候选人的获奖资格。</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28"/>
          <w:szCs w:val="28"/>
        </w:rPr>
      </w:pPr>
      <w:r>
        <w:rPr>
          <w:rFonts w:hint="eastAsia" w:ascii="仿宋" w:hAnsi="仿宋" w:eastAsia="仿宋" w:cs="仿宋"/>
          <w:sz w:val="28"/>
          <w:szCs w:val="28"/>
        </w:rPr>
        <w:t>第二十六条  对以弄虚作假等不道德手段获得奖励者，一经查实，将撤销奖励，追回证书和奖金。</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 w:hAnsi="仿宋" w:eastAsia="仿宋" w:cs="仿宋"/>
          <w:b/>
          <w:bCs/>
          <w:sz w:val="28"/>
          <w:szCs w:val="28"/>
        </w:rPr>
      </w:pPr>
      <w:r>
        <w:rPr>
          <w:rFonts w:hint="eastAsia" w:ascii="仿宋" w:hAnsi="仿宋" w:eastAsia="仿宋" w:cs="仿宋"/>
          <w:b/>
          <w:bCs/>
          <w:sz w:val="28"/>
          <w:szCs w:val="28"/>
          <w:lang w:eastAsia="zh-CN"/>
        </w:rPr>
        <w:t>第六章</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rPr>
        <w:t>评审时间</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28"/>
          <w:szCs w:val="28"/>
        </w:rPr>
      </w:pPr>
      <w:r>
        <w:rPr>
          <w:rFonts w:hint="eastAsia" w:ascii="仿宋" w:hAnsi="仿宋" w:eastAsia="仿宋" w:cs="仿宋"/>
          <w:sz w:val="28"/>
          <w:szCs w:val="28"/>
        </w:rPr>
        <w:t>第二十七条  每年5月30日前，宝钢教育基金会秘书处将当年《宝钢教育奖评审工作通知》从宝钢教育基金会网站及以书面形式寄发给各评审学校和评审单位。</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28"/>
          <w:szCs w:val="28"/>
        </w:rPr>
      </w:pPr>
      <w:r>
        <w:rPr>
          <w:rFonts w:hint="eastAsia" w:ascii="仿宋" w:hAnsi="仿宋" w:eastAsia="仿宋" w:cs="仿宋"/>
          <w:sz w:val="28"/>
          <w:szCs w:val="28"/>
        </w:rPr>
        <w:t>第二十八条  9月10日前，各评审学校、评审单位在宝钢教育基金会网站的申报系统上完成宝钢优秀教师奖、宝钢优秀教师特等奖提名人的申报工作，同时用A4纸正反两面打印装订，并签名盖章后寄发给宝钢教育基金会秘书处存档备案。寄发材料：每位宝钢优秀教师奖候选人（包括本学校或本单位推荐的非评审学校、非评审单位宝钢优秀教师奖候选人）《评审表》一式一份及２吋彩色免冠近照一张；宝钢优秀教师特等奖提名人《评审表》一式二份及相关佐证材料的复印件一份及２吋彩色免冠近照一张。</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9月25日前，宝钢教育基金会秘书处将汇总的宝钢优秀教师特等奖提名人的《评审表》（复印件）及《宝钢优秀教师特等奖通讯表决票》以书面形式寄发给宝钢教育奖评审工作委员会的各位顾问与委员，以进行评审和通讯表决。</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10月20日前，各评审学校、评审单位负责宝钢教育奖评审工作的部门协助本学校、本单位的宝钢教育奖评审工作委员会的顾问与委员，将《宝钢优秀教师特等奖通讯表决票》寄回宝钢教育基金会秘书处。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28"/>
          <w:szCs w:val="28"/>
        </w:rPr>
      </w:pPr>
      <w:r>
        <w:rPr>
          <w:rFonts w:hint="eastAsia" w:ascii="仿宋" w:hAnsi="仿宋" w:eastAsia="仿宋" w:cs="仿宋"/>
          <w:sz w:val="28"/>
          <w:szCs w:val="28"/>
        </w:rPr>
        <w:t>第二十九条  10月12日前，各评审学校、评审单位应在宝钢教育基金会网站的申报系统上完成宝钢优秀学生奖、宝钢优秀学生特等奖的申报工作，同时用A4纸正反两面打印装订，签名盖章后寄发给宝钢教育基金会秘书处存档备案。寄发材料：每位宝钢优秀学生奖候选人（包括推荐的非评审学校、非评审单位宝钢优秀学生奖候选人）《评审表》一式一份及２吋彩色免冠近照一张；每位宝钢优秀学生特等奖提名人《评审表》一式二份及彩色免冠2吋近照一张。</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10月20日前，宝钢教育基金会秘书处将汇总的宝钢优秀学生特等奖提名人的《评审表》（复印件）及《宝钢优秀学生特等奖通讯表决票》以书面形式寄发给各评审学校、评审单位，由主管宝钢教育奖评颁工作的部门评审，并进行通讯表决。</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10月30日前，各评审学校、评审单位将《宝钢优秀学生特等奖通讯表决票》寄回宝钢教育基金会秘书处，表决票上应由主管宝钢教育奖的部门负责人签名，并加盖本部门公章。</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各项材料须按上述规定时间寄出，寄出时间以邮戳为准。逾期未寄，则视为自动放弃。</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 w:hAnsi="仿宋" w:eastAsia="仿宋" w:cs="仿宋"/>
          <w:b/>
          <w:bCs/>
          <w:sz w:val="28"/>
          <w:szCs w:val="28"/>
        </w:rPr>
      </w:pPr>
      <w:r>
        <w:rPr>
          <w:rFonts w:hint="eastAsia" w:ascii="仿宋" w:hAnsi="仿宋" w:eastAsia="仿宋" w:cs="仿宋"/>
          <w:b/>
          <w:bCs/>
          <w:sz w:val="28"/>
          <w:szCs w:val="28"/>
          <w:lang w:eastAsia="zh-CN"/>
        </w:rPr>
        <w:t>第七章</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rPr>
        <w:t>表彰与奖励</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28"/>
          <w:szCs w:val="28"/>
        </w:rPr>
      </w:pPr>
      <w:r>
        <w:rPr>
          <w:rFonts w:hint="eastAsia" w:ascii="仿宋" w:hAnsi="仿宋" w:eastAsia="仿宋" w:cs="仿宋"/>
          <w:sz w:val="28"/>
          <w:szCs w:val="28"/>
        </w:rPr>
        <w:t>第三十条  宝钢教育基金会于每年年底通过宝钢教育基金会网站和《中国教育报》或其他报刊公布当年宝钢优秀学生特等奖、宝钢优秀学生奖、宝钢优秀教师特等奖、宝钢优秀教师奖的获奖名单。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28"/>
          <w:szCs w:val="28"/>
        </w:rPr>
      </w:pPr>
      <w:r>
        <w:rPr>
          <w:rFonts w:hint="eastAsia" w:ascii="仿宋" w:hAnsi="仿宋" w:eastAsia="仿宋" w:cs="仿宋"/>
          <w:sz w:val="28"/>
          <w:szCs w:val="28"/>
        </w:rPr>
        <w:t>宝钢教育基金会与宝钢集团有限公司每两年一次联合举行宝钢教育奖颁奖庆典活动，届时邀请获奖师生代表出席。获奖师生代表一般为宝钢优秀学生特等奖提名人和宝钢优秀教师特等奖提名人。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28"/>
          <w:szCs w:val="28"/>
        </w:rPr>
      </w:pPr>
      <w:r>
        <w:rPr>
          <w:rFonts w:hint="eastAsia" w:ascii="仿宋" w:hAnsi="仿宋" w:eastAsia="仿宋" w:cs="仿宋"/>
          <w:sz w:val="28"/>
          <w:szCs w:val="28"/>
        </w:rPr>
        <w:t>第三十一条  宝钢教育奖获奖名单公布后，各评审学校应单独或结合学校其它教育奖项举行颁奖仪式，进行表彰。也可以与本地区宝钢教育奖设奖的其它学校联合举行颁奖活动。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第八章  附  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28"/>
          <w:szCs w:val="28"/>
        </w:rPr>
      </w:pPr>
      <w:r>
        <w:rPr>
          <w:rFonts w:hint="eastAsia" w:ascii="仿宋" w:hAnsi="仿宋" w:eastAsia="仿宋" w:cs="仿宋"/>
          <w:sz w:val="28"/>
          <w:szCs w:val="28"/>
        </w:rPr>
        <w:t>第三十二条　本《实施细则》自颁布之日起实施，凡与本《实施细则》条款不一致的其它规定自行废止。</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28"/>
          <w:szCs w:val="28"/>
        </w:rPr>
      </w:pPr>
      <w:r>
        <w:rPr>
          <w:rFonts w:hint="eastAsia" w:ascii="仿宋" w:hAnsi="仿宋" w:eastAsia="仿宋" w:cs="仿宋"/>
          <w:sz w:val="28"/>
          <w:szCs w:val="28"/>
        </w:rPr>
        <w:t>第三十三条　本《实施细则》解释权属宝钢教育基金会秘书处。</w:t>
      </w:r>
    </w:p>
    <w:p>
      <w:pPr>
        <w:keepNext w:val="0"/>
        <w:keepLines w:val="0"/>
        <w:pageBreakBefore w:val="0"/>
        <w:widowControl w:val="0"/>
        <w:kinsoku/>
        <w:wordWrap/>
        <w:overflowPunct/>
        <w:topLinePunct w:val="0"/>
        <w:autoSpaceDE/>
        <w:autoSpaceDN/>
        <w:bidi w:val="0"/>
        <w:adjustRightInd/>
        <w:snapToGrid/>
        <w:spacing w:line="560" w:lineRule="exact"/>
        <w:ind w:firstLine="5320" w:firstLineChars="1900"/>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5320" w:firstLineChars="1900"/>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5320" w:firstLineChars="1900"/>
        <w:textAlignment w:val="auto"/>
        <w:outlineLvl w:val="9"/>
        <w:rPr>
          <w:rFonts w:hint="eastAsia" w:ascii="仿宋" w:hAnsi="仿宋" w:eastAsia="仿宋" w:cs="仿宋"/>
          <w:sz w:val="28"/>
          <w:szCs w:val="28"/>
        </w:rPr>
      </w:pPr>
      <w:r>
        <w:rPr>
          <w:rFonts w:hint="eastAsia" w:ascii="仿宋" w:hAnsi="仿宋" w:eastAsia="仿宋" w:cs="仿宋"/>
          <w:sz w:val="28"/>
          <w:szCs w:val="28"/>
        </w:rPr>
        <w:t>宝钢教育基金会秘书处</w:t>
      </w:r>
    </w:p>
    <w:p>
      <w:pPr>
        <w:ind w:firstLine="5320" w:firstLineChars="1900"/>
        <w:rPr>
          <w:rFonts w:hint="eastAsia" w:ascii="仿宋" w:hAnsi="仿宋" w:eastAsia="仿宋" w:cs="仿宋"/>
          <w:color w:val="000000"/>
          <w:sz w:val="28"/>
          <w:szCs w:val="28"/>
        </w:rPr>
      </w:pPr>
      <w:r>
        <w:rPr>
          <w:rFonts w:hint="eastAsia" w:ascii="仿宋" w:hAnsi="仿宋" w:eastAsia="仿宋" w:cs="仿宋"/>
          <w:sz w:val="28"/>
          <w:szCs w:val="28"/>
        </w:rPr>
        <w:t xml:space="preserve"> 2016年5月10修订</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28"/>
          <w:szCs w:val="28"/>
        </w:rPr>
      </w:pPr>
    </w:p>
    <w:p>
      <w:pPr>
        <w:pStyle w:val="2"/>
        <w:keepNext/>
        <w:keepLines/>
        <w:pageBreakBefore w:val="0"/>
        <w:widowControl w:val="0"/>
        <w:numPr>
          <w:ilvl w:val="0"/>
          <w:numId w:val="1"/>
        </w:numPr>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0"/>
        <w:rPr>
          <w:rFonts w:hint="eastAsia" w:ascii="黑体" w:hAnsi="黑体" w:eastAsia="黑体" w:cs="黑体"/>
          <w:b w:val="0"/>
          <w:bCs/>
          <w:sz w:val="30"/>
          <w:szCs w:val="30"/>
          <w:lang w:val="en-US" w:eastAsia="zh-CN"/>
        </w:rPr>
      </w:pPr>
      <w:bookmarkStart w:id="5" w:name="_Toc332"/>
      <w:r>
        <w:rPr>
          <w:rFonts w:hint="eastAsia" w:ascii="黑体" w:hAnsi="黑体" w:eastAsia="黑体" w:cs="黑体"/>
          <w:b w:val="0"/>
          <w:bCs/>
          <w:sz w:val="30"/>
          <w:szCs w:val="30"/>
          <w:lang w:val="en-US" w:eastAsia="zh-CN"/>
        </w:rPr>
        <w:t>新联铁教育基金</w:t>
      </w:r>
      <w:bookmarkEnd w:id="5"/>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项目号：</w:t>
      </w:r>
      <w:r>
        <w:rPr>
          <w:rFonts w:hint="eastAsia" w:ascii="仿宋" w:hAnsi="仿宋" w:eastAsia="仿宋" w:cs="仿宋"/>
          <w:b w:val="0"/>
          <w:bCs w:val="0"/>
          <w:sz w:val="28"/>
          <w:szCs w:val="28"/>
          <w:lang w:val="en-US" w:eastAsia="zh-CN"/>
        </w:rPr>
        <w:t>06010036</w:t>
      </w:r>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捐赠方：</w:t>
      </w:r>
      <w:r>
        <w:rPr>
          <w:rFonts w:hint="eastAsia" w:ascii="仿宋_GB2312" w:hAnsi="华文中宋" w:eastAsia="仿宋_GB2312"/>
          <w:sz w:val="30"/>
          <w:szCs w:val="30"/>
        </w:rPr>
        <w:t>北京新联铁科技发展有限公司</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b/>
          <w:bCs/>
          <w:sz w:val="28"/>
          <w:szCs w:val="28"/>
          <w:lang w:eastAsia="zh-CN"/>
        </w:rPr>
      </w:pPr>
      <w:r>
        <w:rPr>
          <w:rFonts w:hint="eastAsia" w:ascii="仿宋" w:hAnsi="仿宋" w:eastAsia="仿宋" w:cs="仿宋"/>
          <w:b/>
          <w:bCs/>
          <w:sz w:val="28"/>
          <w:szCs w:val="28"/>
        </w:rPr>
        <w:t>基金来源</w:t>
      </w:r>
      <w:r>
        <w:rPr>
          <w:rFonts w:hint="eastAsia" w:ascii="仿宋" w:hAnsi="仿宋" w:eastAsia="仿宋" w:cs="仿宋"/>
          <w:b/>
          <w:bCs/>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为加强在人才培养和科技研发等领域的合作与交流，支持北京交大的建设和发展，甲方自愿捐赠壹百万元人民币，设立“新联铁教育基金”，首次投入贰拾万元人民币作为启动资金，接下来的四年中就双方合作状况每年投入资金不少于贰拾万元人民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28"/>
          <w:szCs w:val="28"/>
        </w:rPr>
      </w:pPr>
      <w:r>
        <w:rPr>
          <w:rFonts w:hint="eastAsia" w:ascii="仿宋" w:hAnsi="仿宋" w:eastAsia="仿宋" w:cs="仿宋"/>
          <w:b/>
          <w:bCs/>
          <w:sz w:val="28"/>
          <w:szCs w:val="28"/>
        </w:rPr>
        <w:t>奖励和资助对象：</w:t>
      </w:r>
      <w:r>
        <w:rPr>
          <w:rFonts w:hint="eastAsia" w:ascii="仿宋" w:hAnsi="仿宋" w:eastAsia="仿宋" w:cs="仿宋"/>
          <w:sz w:val="28"/>
          <w:szCs w:val="28"/>
        </w:rPr>
        <w:t>北京交大机电学院在校全日制本科生和研究生。</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b/>
          <w:bCs/>
          <w:sz w:val="28"/>
          <w:szCs w:val="28"/>
          <w:lang w:eastAsia="zh-CN"/>
        </w:rPr>
      </w:pPr>
      <w:r>
        <w:rPr>
          <w:rFonts w:hint="eastAsia" w:ascii="仿宋" w:hAnsi="仿宋" w:eastAsia="仿宋" w:cs="仿宋"/>
          <w:b/>
          <w:bCs/>
          <w:sz w:val="28"/>
          <w:szCs w:val="28"/>
        </w:rPr>
        <w:t>名额及金额</w:t>
      </w:r>
      <w:r>
        <w:rPr>
          <w:rFonts w:hint="eastAsia" w:ascii="仿宋" w:hAnsi="仿宋" w:eastAsia="仿宋" w:cs="仿宋"/>
          <w:b/>
          <w:bCs/>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奖学金：</w:t>
      </w:r>
      <w:r>
        <w:rPr>
          <w:rFonts w:hint="eastAsia" w:ascii="仿宋" w:hAnsi="仿宋" w:eastAsia="仿宋" w:cs="仿宋"/>
          <w:sz w:val="28"/>
          <w:szCs w:val="28"/>
          <w:lang w:eastAsia="zh-CN"/>
        </w:rPr>
        <w:t>共</w:t>
      </w:r>
      <w:r>
        <w:rPr>
          <w:rFonts w:hint="eastAsia" w:ascii="仿宋" w:hAnsi="仿宋" w:eastAsia="仿宋" w:cs="仿宋"/>
          <w:sz w:val="28"/>
          <w:szCs w:val="28"/>
          <w:lang w:val="en-US" w:eastAsia="zh-CN"/>
        </w:rPr>
        <w:t>20人，其中本科生10名，研究生10名，</w:t>
      </w:r>
      <w:r>
        <w:rPr>
          <w:rFonts w:hint="eastAsia" w:ascii="仿宋" w:hAnsi="仿宋" w:eastAsia="仿宋" w:cs="仿宋"/>
          <w:sz w:val="28"/>
          <w:szCs w:val="28"/>
        </w:rPr>
        <w:t>4000</w:t>
      </w:r>
      <w:r>
        <w:rPr>
          <w:rFonts w:hint="eastAsia" w:ascii="仿宋" w:hAnsi="仿宋" w:eastAsia="仿宋" w:cs="仿宋"/>
          <w:sz w:val="28"/>
          <w:szCs w:val="28"/>
          <w:lang w:val="en-US" w:eastAsia="zh-CN"/>
        </w:rPr>
        <w:t>元/人˙年</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助学金：</w:t>
      </w:r>
      <w:r>
        <w:rPr>
          <w:rFonts w:hint="eastAsia" w:ascii="仿宋" w:hAnsi="仿宋" w:eastAsia="仿宋" w:cs="仿宋"/>
          <w:sz w:val="28"/>
          <w:szCs w:val="28"/>
          <w:lang w:eastAsia="zh-CN"/>
        </w:rPr>
        <w:t>共</w:t>
      </w:r>
      <w:r>
        <w:rPr>
          <w:rFonts w:hint="eastAsia" w:ascii="仿宋" w:hAnsi="仿宋" w:eastAsia="仿宋" w:cs="仿宋"/>
          <w:sz w:val="28"/>
          <w:szCs w:val="28"/>
        </w:rPr>
        <w:t>10</w:t>
      </w:r>
      <w:r>
        <w:rPr>
          <w:rFonts w:hint="eastAsia" w:ascii="仿宋" w:hAnsi="仿宋" w:eastAsia="仿宋" w:cs="仿宋"/>
          <w:sz w:val="28"/>
          <w:szCs w:val="28"/>
          <w:lang w:eastAsia="zh-CN"/>
        </w:rPr>
        <w:t>人</w:t>
      </w:r>
      <w:r>
        <w:rPr>
          <w:rFonts w:hint="eastAsia" w:ascii="仿宋" w:hAnsi="仿宋" w:eastAsia="仿宋" w:cs="仿宋"/>
          <w:sz w:val="28"/>
          <w:szCs w:val="28"/>
        </w:rPr>
        <w:t>，2000</w:t>
      </w:r>
      <w:r>
        <w:rPr>
          <w:rFonts w:hint="eastAsia" w:ascii="仿宋" w:hAnsi="仿宋" w:eastAsia="仿宋" w:cs="仿宋"/>
          <w:sz w:val="28"/>
          <w:szCs w:val="28"/>
          <w:lang w:val="en-US" w:eastAsia="zh-CN"/>
        </w:rPr>
        <w:t>元/人˙年</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b/>
          <w:bCs/>
          <w:sz w:val="28"/>
          <w:szCs w:val="28"/>
          <w:lang w:eastAsia="zh-CN"/>
        </w:rPr>
      </w:pPr>
      <w:r>
        <w:rPr>
          <w:rFonts w:hint="eastAsia" w:ascii="仿宋" w:hAnsi="仿宋" w:eastAsia="仿宋" w:cs="仿宋"/>
          <w:b/>
          <w:bCs/>
          <w:sz w:val="28"/>
          <w:szCs w:val="28"/>
        </w:rPr>
        <w:t>评选条件</w:t>
      </w:r>
      <w:r>
        <w:rPr>
          <w:rFonts w:hint="eastAsia" w:ascii="仿宋" w:hAnsi="仿宋" w:eastAsia="仿宋" w:cs="仿宋"/>
          <w:b/>
          <w:bCs/>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奖学金：</w:t>
      </w:r>
    </w:p>
    <w:p>
      <w:pPr>
        <w:keepNext w:val="0"/>
        <w:keepLines w:val="0"/>
        <w:pageBreakBefore w:val="0"/>
        <w:widowControl w:val="0"/>
        <w:numPr>
          <w:ilvl w:val="0"/>
          <w:numId w:val="21"/>
        </w:numPr>
        <w:tabs>
          <w:tab w:val="left" w:pos="840"/>
        </w:tabs>
        <w:kinsoku/>
        <w:wordWrap/>
        <w:overflowPunct/>
        <w:topLinePunct w:val="0"/>
        <w:autoSpaceDE/>
        <w:autoSpaceDN/>
        <w:bidi w:val="0"/>
        <w:adjustRightInd/>
        <w:snapToGrid/>
        <w:spacing w:line="560" w:lineRule="exact"/>
        <w:ind w:left="420" w:leftChars="200" w:right="0" w:rightChars="0" w:firstLine="0" w:firstLine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思想进步，热爱祖国，热爱中国共产党；</w:t>
      </w:r>
    </w:p>
    <w:p>
      <w:pPr>
        <w:keepNext w:val="0"/>
        <w:keepLines w:val="0"/>
        <w:pageBreakBefore w:val="0"/>
        <w:widowControl w:val="0"/>
        <w:numPr>
          <w:ilvl w:val="0"/>
          <w:numId w:val="21"/>
        </w:numPr>
        <w:tabs>
          <w:tab w:val="left" w:pos="840"/>
        </w:tabs>
        <w:kinsoku/>
        <w:wordWrap/>
        <w:overflowPunct/>
        <w:topLinePunct w:val="0"/>
        <w:autoSpaceDE/>
        <w:autoSpaceDN/>
        <w:bidi w:val="0"/>
        <w:adjustRightInd/>
        <w:snapToGrid/>
        <w:spacing w:line="560" w:lineRule="exact"/>
        <w:ind w:left="420" w:leftChars="200" w:right="0" w:rightChars="0" w:firstLine="0" w:firstLine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遵守国家法律法规和校纪校规，品行端正，无违法乱纪行为；</w:t>
      </w:r>
    </w:p>
    <w:p>
      <w:pPr>
        <w:keepNext w:val="0"/>
        <w:keepLines w:val="0"/>
        <w:pageBreakBefore w:val="0"/>
        <w:widowControl w:val="0"/>
        <w:numPr>
          <w:ilvl w:val="0"/>
          <w:numId w:val="21"/>
        </w:numPr>
        <w:tabs>
          <w:tab w:val="left" w:pos="840"/>
        </w:tabs>
        <w:kinsoku/>
        <w:wordWrap/>
        <w:overflowPunct/>
        <w:topLinePunct w:val="0"/>
        <w:autoSpaceDE/>
        <w:autoSpaceDN/>
        <w:bidi w:val="0"/>
        <w:adjustRightInd/>
        <w:snapToGrid/>
        <w:spacing w:line="560" w:lineRule="exact"/>
        <w:ind w:left="420" w:leftChars="200" w:right="0" w:rightChars="0" w:firstLine="0" w:firstLine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学习勤奋、刻苦，加权平均学习成绩居专业前15%；</w:t>
      </w:r>
    </w:p>
    <w:p>
      <w:pPr>
        <w:keepNext w:val="0"/>
        <w:keepLines w:val="0"/>
        <w:pageBreakBefore w:val="0"/>
        <w:widowControl w:val="0"/>
        <w:numPr>
          <w:ilvl w:val="0"/>
          <w:numId w:val="21"/>
        </w:numPr>
        <w:tabs>
          <w:tab w:val="left" w:pos="840"/>
        </w:tabs>
        <w:kinsoku/>
        <w:wordWrap/>
        <w:overflowPunct/>
        <w:topLinePunct w:val="0"/>
        <w:autoSpaceDE/>
        <w:autoSpaceDN/>
        <w:bidi w:val="0"/>
        <w:adjustRightInd/>
        <w:snapToGrid/>
        <w:spacing w:line="560" w:lineRule="exact"/>
        <w:ind w:left="420" w:leftChars="200" w:right="0" w:rightChars="0" w:firstLine="0" w:firstLine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学年思想行为测评成绩居专业前30%；</w:t>
      </w:r>
    </w:p>
    <w:p>
      <w:pPr>
        <w:keepNext w:val="0"/>
        <w:keepLines w:val="0"/>
        <w:pageBreakBefore w:val="0"/>
        <w:widowControl w:val="0"/>
        <w:numPr>
          <w:ilvl w:val="0"/>
          <w:numId w:val="21"/>
        </w:numPr>
        <w:tabs>
          <w:tab w:val="left" w:pos="840"/>
        </w:tabs>
        <w:kinsoku/>
        <w:wordWrap/>
        <w:overflowPunct/>
        <w:topLinePunct w:val="0"/>
        <w:autoSpaceDE/>
        <w:autoSpaceDN/>
        <w:bidi w:val="0"/>
        <w:adjustRightInd/>
        <w:snapToGrid/>
        <w:spacing w:line="560" w:lineRule="exact"/>
        <w:ind w:left="420" w:leftChars="200" w:right="0" w:rightChars="0" w:firstLine="0" w:firstLine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具有较高的综合素质和创新能力潜质。</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200" w:right="0" w:rightChars="0"/>
        <w:jc w:val="both"/>
        <w:textAlignment w:val="auto"/>
        <w:outlineLvl w:val="9"/>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助学金：</w:t>
      </w:r>
    </w:p>
    <w:p>
      <w:pPr>
        <w:keepNext w:val="0"/>
        <w:keepLines w:val="0"/>
        <w:pageBreakBefore w:val="0"/>
        <w:widowControl w:val="0"/>
        <w:numPr>
          <w:ilvl w:val="0"/>
          <w:numId w:val="22"/>
        </w:numPr>
        <w:tabs>
          <w:tab w:val="left" w:pos="840"/>
        </w:tabs>
        <w:kinsoku/>
        <w:wordWrap/>
        <w:overflowPunct/>
        <w:topLinePunct w:val="0"/>
        <w:autoSpaceDE/>
        <w:autoSpaceDN/>
        <w:bidi w:val="0"/>
        <w:adjustRightInd/>
        <w:snapToGrid/>
        <w:spacing w:line="560" w:lineRule="exact"/>
        <w:ind w:left="420" w:leftChars="200" w:right="0" w:rightChars="0" w:firstLine="0" w:firstLine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思想进步，热爱祖国，热爱中国共产党；</w:t>
      </w:r>
    </w:p>
    <w:p>
      <w:pPr>
        <w:keepNext w:val="0"/>
        <w:keepLines w:val="0"/>
        <w:pageBreakBefore w:val="0"/>
        <w:widowControl w:val="0"/>
        <w:numPr>
          <w:ilvl w:val="0"/>
          <w:numId w:val="22"/>
        </w:numPr>
        <w:tabs>
          <w:tab w:val="left" w:pos="840"/>
        </w:tabs>
        <w:kinsoku/>
        <w:wordWrap/>
        <w:overflowPunct/>
        <w:topLinePunct w:val="0"/>
        <w:autoSpaceDE/>
        <w:autoSpaceDN/>
        <w:bidi w:val="0"/>
        <w:adjustRightInd/>
        <w:snapToGrid/>
        <w:spacing w:line="560" w:lineRule="exact"/>
        <w:ind w:left="420" w:leftChars="200" w:right="0" w:rightChars="0" w:firstLine="0" w:firstLine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遵守国家法律法规和校纪校规，品行端正，无违法乱纪行为；</w:t>
      </w:r>
    </w:p>
    <w:p>
      <w:pPr>
        <w:keepNext w:val="0"/>
        <w:keepLines w:val="0"/>
        <w:pageBreakBefore w:val="0"/>
        <w:widowControl w:val="0"/>
        <w:numPr>
          <w:ilvl w:val="0"/>
          <w:numId w:val="22"/>
        </w:numPr>
        <w:tabs>
          <w:tab w:val="left" w:pos="840"/>
        </w:tabs>
        <w:kinsoku/>
        <w:wordWrap/>
        <w:overflowPunct/>
        <w:topLinePunct w:val="0"/>
        <w:autoSpaceDE/>
        <w:autoSpaceDN/>
        <w:bidi w:val="0"/>
        <w:adjustRightInd/>
        <w:snapToGrid/>
        <w:spacing w:line="560" w:lineRule="exact"/>
        <w:ind w:left="420" w:leftChars="200" w:right="0" w:rightChars="0" w:firstLine="0" w:firstLine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家庭经济困难且生活简朴；</w:t>
      </w:r>
    </w:p>
    <w:p>
      <w:pPr>
        <w:keepNext w:val="0"/>
        <w:keepLines w:val="0"/>
        <w:pageBreakBefore w:val="0"/>
        <w:widowControl w:val="0"/>
        <w:numPr>
          <w:ilvl w:val="0"/>
          <w:numId w:val="22"/>
        </w:numPr>
        <w:tabs>
          <w:tab w:val="left" w:pos="840"/>
        </w:tabs>
        <w:kinsoku/>
        <w:wordWrap/>
        <w:overflowPunct/>
        <w:topLinePunct w:val="0"/>
        <w:autoSpaceDE/>
        <w:autoSpaceDN/>
        <w:bidi w:val="0"/>
        <w:adjustRightInd/>
        <w:snapToGrid/>
        <w:spacing w:line="560" w:lineRule="exact"/>
        <w:ind w:left="420" w:leftChars="200" w:right="0" w:rightChars="0" w:firstLine="0" w:firstLine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学习勤奋、刻苦，加权平均学习成绩居专业前70%。</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b/>
          <w:bCs/>
          <w:sz w:val="28"/>
          <w:szCs w:val="28"/>
          <w:lang w:eastAsia="zh-CN"/>
        </w:rPr>
      </w:pPr>
      <w:r>
        <w:rPr>
          <w:rFonts w:hint="eastAsia" w:ascii="仿宋" w:hAnsi="仿宋" w:eastAsia="仿宋" w:cs="仿宋"/>
          <w:b/>
          <w:bCs/>
          <w:sz w:val="28"/>
          <w:szCs w:val="28"/>
        </w:rPr>
        <w:t>奖学金评选标准</w:t>
      </w:r>
      <w:r>
        <w:rPr>
          <w:rFonts w:hint="eastAsia" w:ascii="仿宋" w:hAnsi="仿宋" w:eastAsia="仿宋" w:cs="仿宋"/>
          <w:b/>
          <w:bCs/>
          <w:sz w:val="28"/>
          <w:szCs w:val="28"/>
          <w:lang w:eastAsia="zh-CN"/>
        </w:rPr>
        <w:t>：</w:t>
      </w:r>
    </w:p>
    <w:p>
      <w:pPr>
        <w:keepNext w:val="0"/>
        <w:keepLines w:val="0"/>
        <w:pageBreakBefore w:val="0"/>
        <w:widowControl w:val="0"/>
        <w:numPr>
          <w:ilvl w:val="0"/>
          <w:numId w:val="23"/>
        </w:numPr>
        <w:tabs>
          <w:tab w:val="left" w:pos="840"/>
        </w:tabs>
        <w:kinsoku/>
        <w:wordWrap/>
        <w:overflowPunct/>
        <w:topLinePunct w:val="0"/>
        <w:autoSpaceDE/>
        <w:autoSpaceDN/>
        <w:bidi w:val="0"/>
        <w:adjustRightInd/>
        <w:snapToGrid/>
        <w:spacing w:line="560" w:lineRule="exact"/>
        <w:ind w:left="420" w:leftChars="200" w:right="0" w:rightChars="0" w:firstLine="0" w:firstLine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具有较强的综合素质，不仅在品德和学习方面优良，在体育、文艺、人文方面也要有突出表现；</w:t>
      </w:r>
    </w:p>
    <w:p>
      <w:pPr>
        <w:keepNext w:val="0"/>
        <w:keepLines w:val="0"/>
        <w:pageBreakBefore w:val="0"/>
        <w:widowControl w:val="0"/>
        <w:numPr>
          <w:ilvl w:val="0"/>
          <w:numId w:val="23"/>
        </w:numPr>
        <w:tabs>
          <w:tab w:val="left" w:pos="840"/>
        </w:tabs>
        <w:kinsoku/>
        <w:wordWrap/>
        <w:overflowPunct/>
        <w:topLinePunct w:val="0"/>
        <w:autoSpaceDE/>
        <w:autoSpaceDN/>
        <w:bidi w:val="0"/>
        <w:adjustRightInd/>
        <w:snapToGrid/>
        <w:spacing w:line="560" w:lineRule="exact"/>
        <w:ind w:left="420" w:leftChars="200" w:right="0" w:rightChars="0" w:firstLine="0" w:firstLine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具有较强的动手能力、社会实践能力和一定的组织能力；</w:t>
      </w:r>
    </w:p>
    <w:p>
      <w:pPr>
        <w:keepNext w:val="0"/>
        <w:keepLines w:val="0"/>
        <w:pageBreakBefore w:val="0"/>
        <w:widowControl w:val="0"/>
        <w:numPr>
          <w:ilvl w:val="0"/>
          <w:numId w:val="23"/>
        </w:numPr>
        <w:tabs>
          <w:tab w:val="left" w:pos="840"/>
        </w:tabs>
        <w:kinsoku/>
        <w:wordWrap/>
        <w:overflowPunct/>
        <w:topLinePunct w:val="0"/>
        <w:autoSpaceDE/>
        <w:autoSpaceDN/>
        <w:bidi w:val="0"/>
        <w:adjustRightInd/>
        <w:snapToGrid/>
        <w:spacing w:line="560" w:lineRule="exact"/>
        <w:ind w:left="420" w:leftChars="200" w:right="0" w:rightChars="0" w:firstLine="0" w:firstLine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机电及工程机械专业领域内具有一定的创新精神及创新思维，重点考虑参与新联铁公司合作项目的学生；</w:t>
      </w:r>
    </w:p>
    <w:p>
      <w:pPr>
        <w:keepNext w:val="0"/>
        <w:keepLines w:val="0"/>
        <w:pageBreakBefore w:val="0"/>
        <w:widowControl w:val="0"/>
        <w:numPr>
          <w:ilvl w:val="0"/>
          <w:numId w:val="23"/>
        </w:numPr>
        <w:tabs>
          <w:tab w:val="left" w:pos="840"/>
        </w:tabs>
        <w:kinsoku/>
        <w:wordWrap/>
        <w:overflowPunct/>
        <w:topLinePunct w:val="0"/>
        <w:autoSpaceDE/>
        <w:autoSpaceDN/>
        <w:bidi w:val="0"/>
        <w:adjustRightInd/>
        <w:snapToGrid/>
        <w:spacing w:line="560" w:lineRule="exact"/>
        <w:ind w:left="420" w:leftChars="200" w:right="0" w:rightChars="0" w:firstLine="0" w:firstLine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对跨学科其它专业学习有浓厚兴趣并有突出表现，能够有意识地将学习研究内容结合实践与应用。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b/>
          <w:bCs/>
          <w:sz w:val="28"/>
          <w:szCs w:val="28"/>
          <w:lang w:eastAsia="zh-CN"/>
        </w:rPr>
      </w:pPr>
      <w:r>
        <w:rPr>
          <w:rFonts w:hint="eastAsia" w:ascii="仿宋" w:hAnsi="仿宋" w:eastAsia="仿宋" w:cs="仿宋"/>
          <w:b/>
          <w:bCs/>
          <w:sz w:val="28"/>
          <w:szCs w:val="28"/>
        </w:rPr>
        <w:t>评审办法</w:t>
      </w:r>
      <w:r>
        <w:rPr>
          <w:rFonts w:hint="eastAsia" w:ascii="仿宋" w:hAnsi="仿宋" w:eastAsia="仿宋" w:cs="仿宋"/>
          <w:b/>
          <w:bCs/>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奖学金：</w:t>
      </w:r>
    </w:p>
    <w:p>
      <w:pPr>
        <w:keepNext w:val="0"/>
        <w:keepLines w:val="0"/>
        <w:pageBreakBefore w:val="0"/>
        <w:widowControl w:val="0"/>
        <w:numPr>
          <w:ilvl w:val="0"/>
          <w:numId w:val="24"/>
        </w:numPr>
        <w:tabs>
          <w:tab w:val="left" w:pos="840"/>
        </w:tabs>
        <w:kinsoku/>
        <w:wordWrap/>
        <w:overflowPunct/>
        <w:topLinePunct w:val="0"/>
        <w:autoSpaceDE/>
        <w:autoSpaceDN/>
        <w:bidi w:val="0"/>
        <w:adjustRightInd/>
        <w:snapToGrid/>
        <w:spacing w:line="560" w:lineRule="exact"/>
        <w:ind w:left="0" w:leftChars="0" w:right="0" w:rightChars="0" w:firstLine="420" w:firstLineChars="15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成立新联铁奖学金评审委员会，由学校教育基金会、学生工作处、研究生院、学生资助管理中心、机电学院和北京新联铁公司领导组成。具体相关工作由北京交大学生工作处、研究生院完成；</w:t>
      </w:r>
    </w:p>
    <w:p>
      <w:pPr>
        <w:keepNext w:val="0"/>
        <w:keepLines w:val="0"/>
        <w:pageBreakBefore w:val="0"/>
        <w:widowControl w:val="0"/>
        <w:numPr>
          <w:ilvl w:val="0"/>
          <w:numId w:val="24"/>
        </w:numPr>
        <w:tabs>
          <w:tab w:val="left" w:pos="840"/>
        </w:tabs>
        <w:kinsoku/>
        <w:wordWrap/>
        <w:overflowPunct/>
        <w:topLinePunct w:val="0"/>
        <w:autoSpaceDE/>
        <w:autoSpaceDN/>
        <w:bidi w:val="0"/>
        <w:adjustRightInd/>
        <w:snapToGrid/>
        <w:spacing w:line="560" w:lineRule="exact"/>
        <w:ind w:left="0" w:leftChars="0" w:right="0" w:rightChars="0" w:firstLine="420" w:firstLineChars="15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每年9月，在本科生学年考核的基础上，具有参评资格的优秀学生，根据评选条件采取自荐与学院推荐相结合的方式填写有关资料，交至学生工作处；</w:t>
      </w:r>
    </w:p>
    <w:p>
      <w:pPr>
        <w:keepNext w:val="0"/>
        <w:keepLines w:val="0"/>
        <w:pageBreakBefore w:val="0"/>
        <w:widowControl w:val="0"/>
        <w:numPr>
          <w:ilvl w:val="0"/>
          <w:numId w:val="24"/>
        </w:numPr>
        <w:tabs>
          <w:tab w:val="left" w:pos="840"/>
        </w:tabs>
        <w:kinsoku/>
        <w:wordWrap/>
        <w:overflowPunct/>
        <w:topLinePunct w:val="0"/>
        <w:autoSpaceDE/>
        <w:autoSpaceDN/>
        <w:bidi w:val="0"/>
        <w:adjustRightInd/>
        <w:snapToGrid/>
        <w:spacing w:line="560" w:lineRule="exact"/>
        <w:ind w:left="0" w:leftChars="0" w:right="0" w:rightChars="0" w:firstLine="420" w:firstLineChars="15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学生工作处和研究生院在广泛征求各方面意见的基础上，提出推荐名单，并以一定方式在校内进行公示；公示后，将最终推荐名单报教育基金会；</w:t>
      </w:r>
    </w:p>
    <w:p>
      <w:pPr>
        <w:keepNext w:val="0"/>
        <w:keepLines w:val="0"/>
        <w:pageBreakBefore w:val="0"/>
        <w:widowControl w:val="0"/>
        <w:numPr>
          <w:ilvl w:val="0"/>
          <w:numId w:val="24"/>
        </w:numPr>
        <w:tabs>
          <w:tab w:val="left" w:pos="840"/>
        </w:tabs>
        <w:kinsoku/>
        <w:wordWrap/>
        <w:overflowPunct/>
        <w:topLinePunct w:val="0"/>
        <w:autoSpaceDE/>
        <w:autoSpaceDN/>
        <w:bidi w:val="0"/>
        <w:adjustRightInd/>
        <w:snapToGrid/>
        <w:spacing w:line="560" w:lineRule="exact"/>
        <w:ind w:left="420" w:leftChars="200" w:right="0" w:rightChars="0" w:firstLine="0" w:firstLine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教育基金会对推荐名单进行审查并发放。</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助学金：</w:t>
      </w:r>
    </w:p>
    <w:p>
      <w:pPr>
        <w:keepNext w:val="0"/>
        <w:keepLines w:val="0"/>
        <w:pageBreakBefore w:val="0"/>
        <w:widowControl w:val="0"/>
        <w:numPr>
          <w:ilvl w:val="0"/>
          <w:numId w:val="25"/>
        </w:numPr>
        <w:tabs>
          <w:tab w:val="left" w:pos="840"/>
        </w:tabs>
        <w:kinsoku/>
        <w:wordWrap/>
        <w:overflowPunct/>
        <w:topLinePunct w:val="0"/>
        <w:autoSpaceDE/>
        <w:autoSpaceDN/>
        <w:bidi w:val="0"/>
        <w:adjustRightInd/>
        <w:snapToGrid/>
        <w:spacing w:line="560" w:lineRule="exact"/>
        <w:ind w:left="0" w:leftChars="0" w:right="0" w:rightChars="0" w:firstLine="420" w:firstLineChars="15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成立新联铁助学金基金评审管理领导小组和监督检查小组。评审管理小组，由学校教育基金会、学生工作处、学生资助管理中心、机电学院和北京新联铁公司领导组成。具体相关工作由北京交通大学学生资助管理中心负责；</w:t>
      </w:r>
    </w:p>
    <w:p>
      <w:pPr>
        <w:keepNext w:val="0"/>
        <w:keepLines w:val="0"/>
        <w:pageBreakBefore w:val="0"/>
        <w:widowControl w:val="0"/>
        <w:numPr>
          <w:ilvl w:val="0"/>
          <w:numId w:val="25"/>
        </w:numPr>
        <w:tabs>
          <w:tab w:val="left" w:pos="840"/>
        </w:tabs>
        <w:kinsoku/>
        <w:wordWrap/>
        <w:overflowPunct/>
        <w:topLinePunct w:val="0"/>
        <w:autoSpaceDE/>
        <w:autoSpaceDN/>
        <w:bidi w:val="0"/>
        <w:adjustRightInd/>
        <w:snapToGrid/>
        <w:spacing w:line="560" w:lineRule="exact"/>
        <w:ind w:left="0" w:leftChars="0" w:right="0" w:rightChars="0" w:firstLine="420" w:firstLineChars="15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每年9月贫困生本人书面申请，填写资助申请表，经学院评审小组初审，学院内公示后上报校学生资助管理中心。学生资助管理中心审核后，报学校评审委员会及新联铁助学金评审领导小组审批。审批后在全校内公示一周；</w:t>
      </w:r>
    </w:p>
    <w:p>
      <w:pPr>
        <w:keepNext w:val="0"/>
        <w:keepLines w:val="0"/>
        <w:pageBreakBefore w:val="0"/>
        <w:widowControl w:val="0"/>
        <w:numPr>
          <w:ilvl w:val="0"/>
          <w:numId w:val="25"/>
        </w:numPr>
        <w:tabs>
          <w:tab w:val="left" w:pos="840"/>
        </w:tabs>
        <w:kinsoku/>
        <w:wordWrap/>
        <w:overflowPunct/>
        <w:topLinePunct w:val="0"/>
        <w:autoSpaceDE/>
        <w:autoSpaceDN/>
        <w:bidi w:val="0"/>
        <w:adjustRightInd/>
        <w:snapToGrid/>
        <w:spacing w:line="560" w:lineRule="exact"/>
        <w:ind w:left="0" w:leftChars="0" w:right="0" w:rightChars="0" w:firstLine="420" w:firstLineChars="15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为体现传递爱心、乐于助人的理念,受资助学生接受爱心基金时，须签署自愿偿还协议，偿还时可根据自身情况选择在毕业后2年、4年、6年内归还所受助的全部金额，如受资助人逾期不还情况发生，偿还协议随即终止。如超过协议年限仍可继续义务偿款；</w:t>
      </w:r>
    </w:p>
    <w:p>
      <w:pPr>
        <w:keepNext w:val="0"/>
        <w:keepLines w:val="0"/>
        <w:pageBreakBefore w:val="0"/>
        <w:widowControl w:val="0"/>
        <w:numPr>
          <w:ilvl w:val="0"/>
          <w:numId w:val="25"/>
        </w:numPr>
        <w:tabs>
          <w:tab w:val="left" w:pos="840"/>
        </w:tabs>
        <w:kinsoku/>
        <w:wordWrap/>
        <w:overflowPunct/>
        <w:topLinePunct w:val="0"/>
        <w:autoSpaceDE/>
        <w:autoSpaceDN/>
        <w:bidi w:val="0"/>
        <w:adjustRightInd/>
        <w:snapToGrid/>
        <w:spacing w:line="560" w:lineRule="exact"/>
        <w:ind w:left="0" w:leftChars="0" w:right="0" w:rightChars="0" w:firstLine="420" w:firstLineChars="15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受助学生偿还的助学金，自动进入“新联铁教育基金”本金当中，用于资助更多家庭经济困难的学生。</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28"/>
          <w:szCs w:val="28"/>
          <w:lang w:eastAsia="zh-CN"/>
        </w:rPr>
      </w:pPr>
      <w:r>
        <w:rPr>
          <w:rFonts w:hint="eastAsia" w:ascii="仿宋" w:hAnsi="仿宋" w:eastAsia="仿宋" w:cs="仿宋"/>
          <w:b/>
          <w:bCs/>
          <w:sz w:val="28"/>
          <w:szCs w:val="28"/>
        </w:rPr>
        <w:t>评审管理</w:t>
      </w:r>
      <w:r>
        <w:rPr>
          <w:rFonts w:hint="eastAsia" w:ascii="仿宋" w:hAnsi="仿宋" w:eastAsia="仿宋" w:cs="仿宋"/>
          <w:b/>
          <w:bCs/>
          <w:sz w:val="28"/>
          <w:szCs w:val="28"/>
          <w:lang w:eastAsia="zh-CN"/>
        </w:rPr>
        <w:t>：</w:t>
      </w:r>
    </w:p>
    <w:p>
      <w:pPr>
        <w:keepNext w:val="0"/>
        <w:keepLines w:val="0"/>
        <w:pageBreakBefore w:val="0"/>
        <w:widowControl w:val="0"/>
        <w:numPr>
          <w:ilvl w:val="0"/>
          <w:numId w:val="26"/>
        </w:numPr>
        <w:tabs>
          <w:tab w:val="left" w:pos="840"/>
        </w:tabs>
        <w:kinsoku/>
        <w:wordWrap/>
        <w:overflowPunct/>
        <w:topLinePunct w:val="0"/>
        <w:autoSpaceDE/>
        <w:autoSpaceDN/>
        <w:bidi w:val="0"/>
        <w:adjustRightInd/>
        <w:snapToGrid/>
        <w:spacing w:line="560" w:lineRule="exact"/>
        <w:ind w:left="5" w:leftChars="0" w:firstLine="415" w:firstLineChars="0"/>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“新联铁奖、助学金”每学年评审一次，教育基金会设立专门账户，统一管理，学生工作处、学生资助管理中心和研究生院根据获奖学生</w:t>
      </w:r>
      <w:r>
        <w:rPr>
          <w:rFonts w:hint="eastAsia" w:ascii="仿宋" w:hAnsi="仿宋" w:eastAsia="仿宋" w:cs="仿宋"/>
          <w:sz w:val="28"/>
          <w:szCs w:val="28"/>
        </w:rPr>
        <w:t>情况制表发放，由教育基金会打入学生银行卡；</w:t>
      </w:r>
    </w:p>
    <w:p>
      <w:pPr>
        <w:keepNext w:val="0"/>
        <w:keepLines w:val="0"/>
        <w:pageBreakBefore w:val="0"/>
        <w:widowControl w:val="0"/>
        <w:numPr>
          <w:ilvl w:val="0"/>
          <w:numId w:val="26"/>
        </w:numPr>
        <w:tabs>
          <w:tab w:val="left" w:pos="840"/>
        </w:tabs>
        <w:kinsoku/>
        <w:wordWrap/>
        <w:overflowPunct/>
        <w:topLinePunct w:val="0"/>
        <w:autoSpaceDE/>
        <w:autoSpaceDN/>
        <w:bidi w:val="0"/>
        <w:adjustRightInd/>
        <w:snapToGrid/>
        <w:spacing w:line="560" w:lineRule="exact"/>
        <w:ind w:left="5" w:leftChars="0" w:firstLine="415" w:firstLineChars="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每年11月份，学校择期邀请北京新联铁公司相关领导出席“新联铁奖、助学金”颁奖仪式，并向北京新联铁公司汇报奖励学生情况；</w:t>
      </w:r>
    </w:p>
    <w:p>
      <w:pPr>
        <w:keepNext w:val="0"/>
        <w:keepLines w:val="0"/>
        <w:pageBreakBefore w:val="0"/>
        <w:widowControl w:val="0"/>
        <w:numPr>
          <w:ilvl w:val="0"/>
          <w:numId w:val="26"/>
        </w:numPr>
        <w:tabs>
          <w:tab w:val="left" w:pos="840"/>
        </w:tabs>
        <w:kinsoku/>
        <w:wordWrap/>
        <w:overflowPunct/>
        <w:topLinePunct w:val="0"/>
        <w:autoSpaceDE/>
        <w:autoSpaceDN/>
        <w:bidi w:val="0"/>
        <w:adjustRightInd/>
        <w:snapToGrid/>
        <w:spacing w:line="560" w:lineRule="exact"/>
        <w:ind w:left="5" w:leftChars="0" w:firstLine="415" w:firstLineChars="0"/>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对于受到学校纪律处分的学生，由学生工作处或研究生院负责追回其奖金，并取消其荣誉称号。</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28"/>
          <w:szCs w:val="28"/>
          <w:lang w:val="en-US" w:eastAsia="zh-CN"/>
        </w:rPr>
      </w:pP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28"/>
          <w:szCs w:val="28"/>
          <w:lang w:val="en-US" w:eastAsia="zh-CN"/>
        </w:rPr>
      </w:pPr>
    </w:p>
    <w:p>
      <w:pPr>
        <w:pStyle w:val="2"/>
        <w:keepNext/>
        <w:keepLines/>
        <w:pageBreakBefore w:val="0"/>
        <w:widowControl w:val="0"/>
        <w:numPr>
          <w:ilvl w:val="0"/>
          <w:numId w:val="1"/>
        </w:numPr>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0"/>
        <w:rPr>
          <w:rFonts w:hint="eastAsia" w:ascii="黑体" w:hAnsi="黑体" w:eastAsia="黑体" w:cs="黑体"/>
          <w:b w:val="0"/>
          <w:bCs/>
          <w:sz w:val="30"/>
          <w:szCs w:val="30"/>
          <w:lang w:val="en-US" w:eastAsia="zh-CN"/>
        </w:rPr>
      </w:pPr>
      <w:bookmarkStart w:id="6" w:name="_Toc22629"/>
      <w:r>
        <w:rPr>
          <w:rFonts w:hint="eastAsia" w:ascii="黑体" w:hAnsi="黑体" w:eastAsia="黑体" w:cs="黑体"/>
          <w:b w:val="0"/>
          <w:bCs/>
          <w:sz w:val="30"/>
          <w:szCs w:val="30"/>
          <w:lang w:val="en-US" w:eastAsia="zh-CN"/>
        </w:rPr>
        <w:t>思诺教育基金</w:t>
      </w:r>
      <w:bookmarkEnd w:id="6"/>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项目号：</w:t>
      </w:r>
      <w:r>
        <w:rPr>
          <w:rFonts w:hint="eastAsia" w:ascii="仿宋" w:hAnsi="仿宋" w:eastAsia="仿宋" w:cs="仿宋"/>
          <w:b w:val="0"/>
          <w:bCs w:val="0"/>
          <w:sz w:val="28"/>
          <w:szCs w:val="28"/>
          <w:lang w:val="en-US" w:eastAsia="zh-CN"/>
        </w:rPr>
        <w:t>01010042</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捐赠方：</w:t>
      </w:r>
      <w:r>
        <w:rPr>
          <w:rFonts w:hint="eastAsia" w:ascii="仿宋" w:hAnsi="仿宋" w:eastAsia="仿宋" w:cs="仿宋"/>
          <w:b w:val="0"/>
          <w:bCs w:val="0"/>
          <w:sz w:val="28"/>
          <w:szCs w:val="28"/>
          <w:lang w:val="en-US" w:eastAsia="zh-CN"/>
        </w:rPr>
        <w:t>北京交大思诺科技股份有限公司</w:t>
      </w:r>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评选范围：</w:t>
      </w:r>
      <w:r>
        <w:rPr>
          <w:rFonts w:hint="eastAsia" w:ascii="仿宋" w:hAnsi="仿宋" w:eastAsia="仿宋" w:cs="仿宋"/>
          <w:b w:val="0"/>
          <w:bCs w:val="0"/>
          <w:sz w:val="28"/>
          <w:szCs w:val="28"/>
          <w:lang w:val="en-US" w:eastAsia="zh-CN"/>
        </w:rPr>
        <w:t>北京交通大学电子信息学院研究生</w:t>
      </w:r>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名额及金额：</w:t>
      </w:r>
      <w:r>
        <w:rPr>
          <w:rFonts w:hint="eastAsia" w:ascii="仿宋" w:hAnsi="仿宋" w:eastAsia="仿宋" w:cs="仿宋"/>
          <w:b w:val="0"/>
          <w:bCs w:val="0"/>
          <w:sz w:val="28"/>
          <w:szCs w:val="28"/>
          <w:lang w:val="en-US" w:eastAsia="zh-CN"/>
        </w:rPr>
        <w:t>共10人，3000</w:t>
      </w:r>
      <w:r>
        <w:rPr>
          <w:rFonts w:hint="eastAsia" w:ascii="仿宋" w:hAnsi="仿宋" w:eastAsia="仿宋" w:cs="仿宋"/>
          <w:sz w:val="28"/>
          <w:szCs w:val="28"/>
          <w:lang w:val="en-US" w:eastAsia="zh-CN"/>
        </w:rPr>
        <w:t>元/人˙年</w:t>
      </w:r>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 w:hAnsi="仿宋" w:eastAsia="仿宋" w:cs="仿宋"/>
          <w:sz w:val="28"/>
          <w:szCs w:val="28"/>
          <w:lang w:val="en-US" w:eastAsia="zh-CN"/>
        </w:rPr>
      </w:pPr>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 w:hAnsi="仿宋" w:eastAsia="仿宋" w:cs="仿宋"/>
          <w:sz w:val="28"/>
          <w:szCs w:val="28"/>
          <w:lang w:val="en-US" w:eastAsia="zh-CN"/>
        </w:rPr>
      </w:pPr>
    </w:p>
    <w:p>
      <w:pPr>
        <w:pStyle w:val="2"/>
        <w:keepNext/>
        <w:keepLines/>
        <w:pageBreakBefore w:val="0"/>
        <w:widowControl w:val="0"/>
        <w:numPr>
          <w:ilvl w:val="0"/>
          <w:numId w:val="1"/>
        </w:numPr>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0"/>
        <w:rPr>
          <w:rFonts w:hint="eastAsia" w:ascii="黑体" w:hAnsi="黑体" w:eastAsia="黑体" w:cs="黑体"/>
          <w:b w:val="0"/>
          <w:bCs/>
          <w:sz w:val="30"/>
          <w:szCs w:val="30"/>
          <w:lang w:val="en-US" w:eastAsia="zh-CN"/>
        </w:rPr>
      </w:pPr>
      <w:bookmarkStart w:id="7" w:name="_Toc8367"/>
      <w:r>
        <w:rPr>
          <w:rFonts w:hint="eastAsia" w:ascii="黑体" w:hAnsi="黑体" w:eastAsia="黑体" w:cs="黑体"/>
          <w:b w:val="0"/>
          <w:bCs/>
          <w:sz w:val="30"/>
          <w:szCs w:val="30"/>
          <w:lang w:val="en-US" w:eastAsia="zh-CN"/>
        </w:rPr>
        <w:t>江西校友会助学金</w:t>
      </w:r>
      <w:bookmarkEnd w:id="7"/>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项目号：</w:t>
      </w:r>
      <w:r>
        <w:rPr>
          <w:rFonts w:hint="eastAsia" w:ascii="仿宋" w:hAnsi="仿宋" w:eastAsia="仿宋" w:cs="仿宋"/>
          <w:b w:val="0"/>
          <w:bCs w:val="0"/>
          <w:sz w:val="28"/>
          <w:szCs w:val="28"/>
          <w:lang w:val="en-US" w:eastAsia="zh-CN"/>
        </w:rPr>
        <w:t>99010047</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捐赠方：</w:t>
      </w:r>
      <w:r>
        <w:rPr>
          <w:rFonts w:hint="eastAsia" w:ascii="仿宋" w:hAnsi="仿宋" w:eastAsia="仿宋" w:cs="仿宋"/>
          <w:sz w:val="28"/>
          <w:szCs w:val="28"/>
        </w:rPr>
        <w:t>交通大学江西校友会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b/>
          <w:bCs/>
          <w:sz w:val="28"/>
          <w:szCs w:val="28"/>
          <w:lang w:val="en-US" w:eastAsia="zh-CN"/>
        </w:rPr>
        <w:t>评选范围：</w:t>
      </w:r>
      <w:r>
        <w:rPr>
          <w:rFonts w:hint="eastAsia" w:ascii="仿宋" w:hAnsi="仿宋" w:eastAsia="仿宋" w:cs="仿宋"/>
          <w:sz w:val="28"/>
          <w:szCs w:val="28"/>
        </w:rPr>
        <w:t>北京交通大学江西籍家庭困难的大一新生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rPr>
      </w:pPr>
      <w:r>
        <w:rPr>
          <w:rFonts w:hint="eastAsia" w:ascii="仿宋" w:hAnsi="仿宋" w:eastAsia="仿宋" w:cs="仿宋"/>
          <w:b/>
          <w:bCs/>
          <w:sz w:val="28"/>
          <w:szCs w:val="28"/>
          <w:lang w:val="en-US" w:eastAsia="zh-CN"/>
        </w:rPr>
        <w:t>名额及金额：</w:t>
      </w:r>
      <w:r>
        <w:rPr>
          <w:rFonts w:hint="eastAsia" w:ascii="仿宋" w:hAnsi="仿宋" w:eastAsia="仿宋" w:cs="仿宋"/>
          <w:sz w:val="28"/>
          <w:szCs w:val="28"/>
        </w:rPr>
        <w:t>每年评选4人，3000</w:t>
      </w:r>
      <w:r>
        <w:rPr>
          <w:rFonts w:hint="eastAsia" w:ascii="仿宋" w:hAnsi="仿宋" w:eastAsia="仿宋" w:cs="仿宋"/>
          <w:sz w:val="28"/>
          <w:szCs w:val="28"/>
          <w:lang w:val="en-US" w:eastAsia="zh-CN"/>
        </w:rPr>
        <w:t>元/人˙年</w:t>
      </w:r>
      <w:r>
        <w:rPr>
          <w:rFonts w:hint="eastAsia" w:ascii="仿宋" w:hAnsi="仿宋" w:eastAsia="仿宋" w:cs="仿宋"/>
          <w:sz w:val="28"/>
          <w:szCs w:val="28"/>
        </w:rPr>
        <w:t>，资助期限为四年，直至其本科毕业。对家庭特别困难、学习刻苦、表现优秀的学子可适当提高补助金额</w:t>
      </w:r>
      <w:r>
        <w:rPr>
          <w:rFonts w:hint="eastAsia"/>
        </w:rPr>
        <w:t>。</w:t>
      </w:r>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 w:hAnsi="仿宋" w:eastAsia="仿宋" w:cs="仿宋"/>
          <w:b/>
          <w:bCs/>
          <w:sz w:val="28"/>
          <w:szCs w:val="28"/>
          <w:lang w:val="en-US" w:eastAsia="zh-CN"/>
        </w:rPr>
      </w:pPr>
    </w:p>
    <w:p>
      <w:pPr>
        <w:pStyle w:val="2"/>
        <w:keepNext/>
        <w:keepLines/>
        <w:pageBreakBefore w:val="0"/>
        <w:widowControl w:val="0"/>
        <w:numPr>
          <w:ilvl w:val="0"/>
          <w:numId w:val="1"/>
        </w:numPr>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0"/>
        <w:rPr>
          <w:rFonts w:hint="eastAsia" w:ascii="黑体" w:hAnsi="黑体" w:eastAsia="黑体" w:cs="黑体"/>
          <w:b w:val="0"/>
          <w:bCs/>
          <w:sz w:val="30"/>
          <w:szCs w:val="30"/>
          <w:lang w:val="en-US" w:eastAsia="zh-CN"/>
        </w:rPr>
      </w:pPr>
      <w:bookmarkStart w:id="8" w:name="_Toc2693"/>
      <w:r>
        <w:rPr>
          <w:rFonts w:hint="eastAsia" w:ascii="黑体" w:hAnsi="黑体" w:eastAsia="黑体" w:cs="黑体"/>
          <w:b w:val="0"/>
          <w:bCs/>
          <w:sz w:val="30"/>
          <w:szCs w:val="30"/>
          <w:lang w:val="en-US" w:eastAsia="zh-CN"/>
        </w:rPr>
        <w:t>波易达奖助学基金</w:t>
      </w:r>
      <w:bookmarkEnd w:id="8"/>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项目号：</w:t>
      </w:r>
      <w:r>
        <w:rPr>
          <w:rFonts w:hint="eastAsia" w:ascii="仿宋" w:hAnsi="仿宋" w:eastAsia="仿宋" w:cs="仿宋"/>
          <w:b w:val="0"/>
          <w:bCs w:val="0"/>
          <w:sz w:val="28"/>
          <w:szCs w:val="28"/>
          <w:lang w:val="en-US" w:eastAsia="zh-CN"/>
        </w:rPr>
        <w:t>08010049</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捐赠方：</w:t>
      </w:r>
      <w:r>
        <w:rPr>
          <w:rFonts w:hint="eastAsia" w:ascii="仿宋" w:hAnsi="仿宋" w:eastAsia="仿宋" w:cs="仿宋"/>
          <w:sz w:val="28"/>
          <w:szCs w:val="28"/>
        </w:rPr>
        <w:t>滕永平个人和北京波易达成像技术有限公司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评选范围：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奖学金：</w:t>
      </w:r>
      <w:r>
        <w:rPr>
          <w:rFonts w:hint="eastAsia" w:ascii="仿宋" w:hAnsi="仿宋" w:eastAsia="仿宋" w:cs="仿宋"/>
          <w:sz w:val="28"/>
          <w:szCs w:val="28"/>
        </w:rPr>
        <w:t>北京交通大学理学院在校全日制本科生，限二、三年级</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加权成绩本专业前40%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助学金：</w:t>
      </w:r>
      <w:r>
        <w:rPr>
          <w:rFonts w:hint="eastAsia" w:ascii="仿宋" w:hAnsi="仿宋" w:eastAsia="仿宋" w:cs="仿宋"/>
          <w:sz w:val="28"/>
          <w:szCs w:val="28"/>
        </w:rPr>
        <w:t>北京交通大学理学院在校全日制本科生，限一、二、三年级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名额及金额：</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奖学金：共</w:t>
      </w:r>
      <w:r>
        <w:rPr>
          <w:rFonts w:hint="eastAsia" w:ascii="仿宋" w:hAnsi="仿宋" w:eastAsia="仿宋" w:cs="仿宋"/>
          <w:sz w:val="28"/>
          <w:szCs w:val="28"/>
        </w:rPr>
        <w:t>3人</w:t>
      </w:r>
      <w:r>
        <w:rPr>
          <w:rFonts w:hint="eastAsia" w:ascii="仿宋" w:hAnsi="仿宋" w:eastAsia="仿宋" w:cs="仿宋"/>
          <w:sz w:val="28"/>
          <w:szCs w:val="28"/>
          <w:lang w:eastAsia="zh-CN"/>
        </w:rPr>
        <w:t>，</w:t>
      </w:r>
      <w:r>
        <w:rPr>
          <w:rFonts w:hint="eastAsia" w:ascii="仿宋" w:hAnsi="仿宋" w:eastAsia="仿宋" w:cs="仿宋"/>
          <w:sz w:val="28"/>
          <w:szCs w:val="28"/>
        </w:rPr>
        <w:t>4000元/人·年</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b/>
          <w:bCs/>
          <w:sz w:val="28"/>
          <w:szCs w:val="28"/>
          <w:lang w:val="en-US" w:eastAsia="zh-CN"/>
        </w:rPr>
      </w:pPr>
      <w:r>
        <w:rPr>
          <w:rFonts w:hint="eastAsia" w:ascii="仿宋" w:hAnsi="仿宋" w:eastAsia="仿宋" w:cs="仿宋"/>
          <w:sz w:val="28"/>
          <w:szCs w:val="28"/>
          <w:lang w:val="en-US" w:eastAsia="zh-CN"/>
        </w:rPr>
        <w:t>助学金：共</w:t>
      </w:r>
      <w:r>
        <w:rPr>
          <w:rFonts w:hint="eastAsia" w:ascii="仿宋" w:hAnsi="仿宋" w:eastAsia="仿宋" w:cs="仿宋"/>
          <w:sz w:val="28"/>
          <w:szCs w:val="28"/>
        </w:rPr>
        <w:t>5人</w:t>
      </w:r>
      <w:r>
        <w:rPr>
          <w:rFonts w:hint="eastAsia" w:ascii="仿宋" w:hAnsi="仿宋" w:eastAsia="仿宋" w:cs="仿宋"/>
          <w:sz w:val="28"/>
          <w:szCs w:val="28"/>
          <w:lang w:eastAsia="zh-CN"/>
        </w:rPr>
        <w:t>，</w:t>
      </w:r>
      <w:r>
        <w:rPr>
          <w:rFonts w:hint="eastAsia" w:ascii="仿宋" w:hAnsi="仿宋" w:eastAsia="仿宋" w:cs="仿宋"/>
          <w:sz w:val="28"/>
          <w:szCs w:val="28"/>
        </w:rPr>
        <w:t>2000元/人·年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评选条件：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奖学金：</w:t>
      </w:r>
      <w:r>
        <w:rPr>
          <w:rFonts w:hint="eastAsia" w:ascii="仿宋" w:hAnsi="仿宋" w:eastAsia="仿宋" w:cs="仿宋"/>
          <w:sz w:val="28"/>
          <w:szCs w:val="28"/>
        </w:rPr>
        <w:t>思想进步，热爱祖国，品行端正，学习勤奋，有较强的综合素质，家庭经济困难且品学兼优，加权平均学习成绩居专业前40%。</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b/>
          <w:bCs/>
          <w:sz w:val="28"/>
          <w:szCs w:val="28"/>
          <w:lang w:val="en-US" w:eastAsia="zh-CN"/>
        </w:rPr>
      </w:pPr>
      <w:r>
        <w:rPr>
          <w:rFonts w:hint="eastAsia" w:ascii="仿宋" w:hAnsi="仿宋" w:eastAsia="仿宋" w:cs="仿宋"/>
          <w:sz w:val="28"/>
          <w:szCs w:val="28"/>
          <w:lang w:val="en-US" w:eastAsia="zh-CN"/>
        </w:rPr>
        <w:t>助学金：</w:t>
      </w:r>
      <w:r>
        <w:rPr>
          <w:rFonts w:hint="eastAsia" w:ascii="仿宋" w:hAnsi="仿宋" w:eastAsia="仿宋" w:cs="仿宋"/>
          <w:sz w:val="28"/>
          <w:szCs w:val="28"/>
        </w:rPr>
        <w:t>家庭经济困难且生活简朴，思想进步，品行端正，学习努力，学习成绩良好，当年未获得其它社会资助。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28"/>
          <w:szCs w:val="28"/>
        </w:rPr>
      </w:pPr>
    </w:p>
    <w:p>
      <w:pPr>
        <w:pStyle w:val="2"/>
        <w:keepNext/>
        <w:keepLines/>
        <w:pageBreakBefore w:val="0"/>
        <w:widowControl w:val="0"/>
        <w:numPr>
          <w:ilvl w:val="0"/>
          <w:numId w:val="1"/>
        </w:numPr>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0"/>
        <w:rPr>
          <w:rFonts w:hint="eastAsia" w:ascii="黑体" w:hAnsi="黑体" w:eastAsia="黑体" w:cs="黑体"/>
          <w:b w:val="0"/>
          <w:bCs/>
          <w:sz w:val="30"/>
          <w:szCs w:val="30"/>
          <w:lang w:val="en-US" w:eastAsia="zh-CN"/>
        </w:rPr>
      </w:pPr>
      <w:bookmarkStart w:id="9" w:name="_Toc17048"/>
      <w:r>
        <w:rPr>
          <w:rFonts w:hint="eastAsia" w:ascii="黑体" w:hAnsi="黑体" w:eastAsia="黑体" w:cs="黑体"/>
          <w:b w:val="0"/>
          <w:bCs/>
          <w:sz w:val="30"/>
          <w:szCs w:val="30"/>
          <w:lang w:val="en-US" w:eastAsia="zh-CN"/>
        </w:rPr>
        <w:t>台达奖学金</w:t>
      </w:r>
      <w:bookmarkEnd w:id="9"/>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项目号：</w:t>
      </w:r>
      <w:r>
        <w:rPr>
          <w:rFonts w:hint="eastAsia" w:ascii="仿宋" w:hAnsi="仿宋" w:eastAsia="仿宋" w:cs="仿宋"/>
          <w:b w:val="0"/>
          <w:bCs w:val="0"/>
          <w:sz w:val="28"/>
          <w:szCs w:val="28"/>
          <w:lang w:val="en-US" w:eastAsia="zh-CN"/>
        </w:rPr>
        <w:t>07010051</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捐赠方：</w:t>
      </w:r>
      <w:r>
        <w:rPr>
          <w:rFonts w:hint="eastAsia" w:ascii="仿宋" w:hAnsi="仿宋" w:eastAsia="仿宋" w:cs="仿宋"/>
          <w:sz w:val="28"/>
          <w:szCs w:val="28"/>
        </w:rPr>
        <w:t>台达环境与教育基金会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评选范围：</w:t>
      </w:r>
      <w:r>
        <w:rPr>
          <w:rFonts w:hint="eastAsia" w:ascii="仿宋" w:hAnsi="仿宋" w:eastAsia="仿宋" w:cs="仿宋"/>
          <w:sz w:val="28"/>
          <w:szCs w:val="28"/>
        </w:rPr>
        <w:t>北京交通大学电气学院电力电子与电力传动学科相关院就读并且表现优异的硕士及以上之研究生</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28"/>
          <w:szCs w:val="28"/>
        </w:rPr>
      </w:pPr>
      <w:r>
        <w:rPr>
          <w:rFonts w:hint="eastAsia" w:ascii="仿宋" w:hAnsi="仿宋" w:eastAsia="仿宋" w:cs="仿宋"/>
          <w:b/>
          <w:bCs/>
          <w:sz w:val="28"/>
          <w:szCs w:val="28"/>
          <w:lang w:val="en-US" w:eastAsia="zh-CN"/>
        </w:rPr>
        <w:t>名额及金额：</w:t>
      </w:r>
      <w:r>
        <w:rPr>
          <w:rFonts w:hint="eastAsia" w:ascii="仿宋" w:hAnsi="仿宋" w:eastAsia="仿宋" w:cs="仿宋"/>
          <w:sz w:val="28"/>
          <w:szCs w:val="28"/>
        </w:rPr>
        <w:t>每年奖励</w:t>
      </w:r>
      <w:r>
        <w:rPr>
          <w:rFonts w:hint="eastAsia" w:ascii="仿宋" w:hAnsi="仿宋" w:eastAsia="仿宋" w:cs="仿宋"/>
          <w:sz w:val="28"/>
          <w:szCs w:val="28"/>
          <w:lang w:val="en-US" w:eastAsia="zh-CN"/>
        </w:rPr>
        <w:t>4</w:t>
      </w:r>
      <w:r>
        <w:rPr>
          <w:rFonts w:hint="eastAsia" w:ascii="仿宋" w:hAnsi="仿宋" w:eastAsia="仿宋" w:cs="仿宋"/>
          <w:sz w:val="28"/>
          <w:szCs w:val="28"/>
        </w:rPr>
        <w:t>至</w:t>
      </w:r>
      <w:r>
        <w:rPr>
          <w:rFonts w:hint="eastAsia" w:ascii="仿宋" w:hAnsi="仿宋" w:eastAsia="仿宋" w:cs="仿宋"/>
          <w:sz w:val="28"/>
          <w:szCs w:val="28"/>
          <w:lang w:val="en-US" w:eastAsia="zh-CN"/>
        </w:rPr>
        <w:t>6</w:t>
      </w:r>
      <w:r>
        <w:rPr>
          <w:rFonts w:hint="eastAsia" w:ascii="仿宋" w:hAnsi="仿宋" w:eastAsia="仿宋" w:cs="仿宋"/>
          <w:sz w:val="28"/>
          <w:szCs w:val="28"/>
        </w:rPr>
        <w:t>名优秀学生</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其中</w:t>
      </w:r>
      <w:r>
        <w:rPr>
          <w:rFonts w:hint="eastAsia" w:ascii="仿宋" w:hAnsi="仿宋" w:eastAsia="仿宋" w:cs="仿宋"/>
          <w:sz w:val="28"/>
          <w:szCs w:val="28"/>
        </w:rPr>
        <w:t>一等奖学金6000元/人·年，二等奖学金3000元/人</w:t>
      </w:r>
    </w:p>
    <w:p>
      <w:pPr>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其他：</w:t>
      </w:r>
    </w:p>
    <w:p>
      <w:pPr>
        <w:keepNext w:val="0"/>
        <w:keepLines w:val="0"/>
        <w:pageBreakBefore w:val="0"/>
        <w:widowControl w:val="0"/>
        <w:numPr>
          <w:ilvl w:val="0"/>
          <w:numId w:val="27"/>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于每年应秉持公平、公正、学术专业之原则.负责组织评定。于每年10月30日前将符合获奖资格学生之相关资料送交捐赠方,由捐赠方进行最后审定并于5个工作日内将审定结果回复。捐赠方可自行依其判断标准,在所提供奖学金总额内, 审定获奖学生数量与获奖等级。 学校应于电力电子或电力传动学 科所在院系公布通过捐赠方审定之获奖学生名单, 获奖学生将获邀参加一次在获奖当年或次年举办的台达电力电子新技术研讨会。                 </w:t>
      </w:r>
    </w:p>
    <w:p>
      <w:pPr>
        <w:keepNext w:val="0"/>
        <w:keepLines w:val="0"/>
        <w:pageBreakBefore w:val="0"/>
        <w:widowControl w:val="0"/>
        <w:numPr>
          <w:ilvl w:val="0"/>
          <w:numId w:val="27"/>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主要应依据研究生在国内外电力电子与电力传动学科核心期刊上发表之论文、学术论文或在校成绩表现,同时申请入的德智体全面素质也应列为重要参考依据 。 </w:t>
      </w:r>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 w:hAnsi="仿宋" w:eastAsia="仿宋" w:cs="仿宋"/>
          <w:b/>
          <w:bCs/>
          <w:sz w:val="28"/>
          <w:szCs w:val="28"/>
          <w:lang w:val="en-US" w:eastAsia="zh-CN"/>
        </w:rPr>
      </w:pPr>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 w:hAnsi="仿宋" w:eastAsia="仿宋" w:cs="仿宋"/>
          <w:b/>
          <w:bCs/>
          <w:sz w:val="28"/>
          <w:szCs w:val="28"/>
          <w:lang w:val="en-US" w:eastAsia="zh-CN"/>
        </w:rPr>
      </w:pPr>
    </w:p>
    <w:p>
      <w:pPr>
        <w:pStyle w:val="2"/>
        <w:keepNext/>
        <w:keepLines/>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Chars="0" w:right="0" w:rightChars="0"/>
        <w:jc w:val="both"/>
        <w:textAlignment w:val="auto"/>
        <w:outlineLvl w:val="0"/>
        <w:rPr>
          <w:rFonts w:hint="eastAsia" w:ascii="仿宋" w:hAnsi="仿宋" w:eastAsia="仿宋" w:cs="仿宋"/>
          <w:b w:val="0"/>
          <w:bCs/>
          <w:sz w:val="30"/>
          <w:szCs w:val="30"/>
          <w:lang w:val="en-US" w:eastAsia="zh-CN"/>
        </w:rPr>
      </w:pPr>
    </w:p>
    <w:p>
      <w:pPr>
        <w:pStyle w:val="2"/>
        <w:keepNext/>
        <w:keepLines/>
        <w:pageBreakBefore w:val="0"/>
        <w:widowControl w:val="0"/>
        <w:numPr>
          <w:ilvl w:val="0"/>
          <w:numId w:val="1"/>
        </w:numPr>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0"/>
        <w:rPr>
          <w:rFonts w:hint="eastAsia" w:ascii="黑体" w:hAnsi="黑体" w:eastAsia="黑体" w:cs="黑体"/>
          <w:b w:val="0"/>
          <w:bCs/>
          <w:sz w:val="30"/>
          <w:szCs w:val="30"/>
          <w:lang w:val="en-US" w:eastAsia="zh-CN"/>
        </w:rPr>
      </w:pPr>
      <w:bookmarkStart w:id="10" w:name="_Toc16528"/>
      <w:r>
        <w:rPr>
          <w:rFonts w:hint="eastAsia" w:ascii="黑体" w:hAnsi="黑体" w:eastAsia="黑体" w:cs="黑体"/>
          <w:b w:val="0"/>
          <w:bCs/>
          <w:sz w:val="30"/>
          <w:szCs w:val="30"/>
          <w:lang w:val="en-US" w:eastAsia="zh-CN"/>
        </w:rPr>
        <w:t>华为奖学金</w:t>
      </w:r>
      <w:bookmarkEnd w:id="10"/>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项目号：</w:t>
      </w:r>
      <w:r>
        <w:rPr>
          <w:rFonts w:hint="eastAsia" w:ascii="仿宋" w:hAnsi="仿宋" w:eastAsia="仿宋" w:cs="仿宋"/>
          <w:b w:val="0"/>
          <w:bCs w:val="0"/>
          <w:sz w:val="28"/>
          <w:szCs w:val="28"/>
          <w:lang w:val="en-US" w:eastAsia="zh-CN"/>
        </w:rPr>
        <w:t>21010055</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捐赠方：</w:t>
      </w:r>
      <w:r>
        <w:rPr>
          <w:rFonts w:hint="eastAsia" w:ascii="仿宋" w:hAnsi="仿宋" w:eastAsia="仿宋" w:cs="仿宋"/>
          <w:sz w:val="28"/>
          <w:szCs w:val="28"/>
        </w:rPr>
        <w:t>华为技术有限公司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b/>
          <w:bCs/>
          <w:sz w:val="28"/>
          <w:szCs w:val="28"/>
          <w:lang w:val="en-US" w:eastAsia="zh-CN"/>
        </w:rPr>
        <w:t>评选范围：</w:t>
      </w:r>
      <w:r>
        <w:rPr>
          <w:rFonts w:hint="eastAsia" w:ascii="仿宋" w:hAnsi="仿宋" w:eastAsia="仿宋" w:cs="仿宋"/>
          <w:sz w:val="28"/>
          <w:szCs w:val="28"/>
        </w:rPr>
        <w:t>北京交通大学电子信息工程学院、计算机与信息技术学院次年毕业的德、智、体全面发展、品学兼优的学生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名额及金额：</w:t>
      </w:r>
    </w:p>
    <w:tbl>
      <w:tblPr>
        <w:tblStyle w:val="11"/>
        <w:tblW w:w="7103" w:type="dxa"/>
        <w:jc w:val="center"/>
        <w:tblInd w:w="93" w:type="dxa"/>
        <w:tblLayout w:type="fixed"/>
        <w:tblCellMar>
          <w:top w:w="0" w:type="dxa"/>
          <w:left w:w="108" w:type="dxa"/>
          <w:bottom w:w="0" w:type="dxa"/>
          <w:right w:w="108" w:type="dxa"/>
        </w:tblCellMar>
      </w:tblPr>
      <w:tblGrid>
        <w:gridCol w:w="2425"/>
        <w:gridCol w:w="1559"/>
        <w:gridCol w:w="1418"/>
        <w:gridCol w:w="1701"/>
      </w:tblGrid>
      <w:tr>
        <w:tblPrEx>
          <w:tblLayout w:type="fixed"/>
          <w:tblCellMar>
            <w:top w:w="0" w:type="dxa"/>
            <w:left w:w="108" w:type="dxa"/>
            <w:bottom w:w="0" w:type="dxa"/>
            <w:right w:w="108" w:type="dxa"/>
          </w:tblCellMar>
        </w:tblPrEx>
        <w:trPr>
          <w:trHeight w:val="345" w:hRule="atLeast"/>
          <w:jc w:val="center"/>
        </w:trPr>
        <w:tc>
          <w:tcPr>
            <w:tcW w:w="2425" w:type="dxa"/>
            <w:tcBorders>
              <w:top w:val="single" w:color="auto" w:sz="8" w:space="0"/>
              <w:left w:val="single" w:color="auto" w:sz="8" w:space="0"/>
              <w:bottom w:val="single" w:color="auto" w:sz="4" w:space="0"/>
              <w:right w:val="single" w:color="auto" w:sz="4" w:space="0"/>
            </w:tcBorders>
            <w:shd w:val="clear" w:color="auto" w:fill="auto"/>
            <w:vAlign w:val="center"/>
          </w:tcPr>
          <w:p>
            <w:pPr>
              <w:widowControl/>
              <w:autoSpaceDE/>
              <w:autoSpaceDN/>
              <w:adjustRightInd/>
              <w:jc w:val="center"/>
              <w:rPr>
                <w:rFonts w:hint="eastAsia" w:ascii="仿宋" w:hAnsi="仿宋" w:eastAsia="仿宋" w:cs="仿宋"/>
                <w:sz w:val="28"/>
                <w:szCs w:val="28"/>
              </w:rPr>
            </w:pPr>
            <w:r>
              <w:rPr>
                <w:rFonts w:hint="eastAsia" w:ascii="仿宋" w:hAnsi="仿宋" w:eastAsia="仿宋" w:cs="仿宋"/>
                <w:sz w:val="28"/>
                <w:szCs w:val="28"/>
              </w:rPr>
              <w:t>分配对象</w:t>
            </w:r>
          </w:p>
        </w:tc>
        <w:tc>
          <w:tcPr>
            <w:tcW w:w="1559" w:type="dxa"/>
            <w:tcBorders>
              <w:top w:val="single" w:color="auto" w:sz="8" w:space="0"/>
              <w:left w:val="nil"/>
              <w:bottom w:val="single" w:color="auto" w:sz="4" w:space="0"/>
              <w:right w:val="single" w:color="auto" w:sz="4" w:space="0"/>
            </w:tcBorders>
            <w:shd w:val="clear" w:color="auto" w:fill="auto"/>
            <w:vAlign w:val="center"/>
          </w:tcPr>
          <w:p>
            <w:pPr>
              <w:widowControl/>
              <w:autoSpaceDE/>
              <w:autoSpaceDN/>
              <w:adjustRightInd/>
              <w:jc w:val="center"/>
              <w:rPr>
                <w:rFonts w:hint="eastAsia" w:ascii="仿宋" w:hAnsi="仿宋" w:eastAsia="仿宋" w:cs="仿宋"/>
                <w:sz w:val="28"/>
                <w:szCs w:val="28"/>
              </w:rPr>
            </w:pPr>
            <w:r>
              <w:rPr>
                <w:rFonts w:hint="eastAsia" w:ascii="仿宋" w:hAnsi="仿宋" w:eastAsia="仿宋" w:cs="仿宋"/>
                <w:sz w:val="28"/>
                <w:szCs w:val="28"/>
              </w:rPr>
              <w:t>金额</w:t>
            </w:r>
          </w:p>
        </w:tc>
        <w:tc>
          <w:tcPr>
            <w:tcW w:w="1418" w:type="dxa"/>
            <w:tcBorders>
              <w:top w:val="single" w:color="auto" w:sz="8" w:space="0"/>
              <w:left w:val="nil"/>
              <w:bottom w:val="single" w:color="auto" w:sz="4" w:space="0"/>
              <w:right w:val="single" w:color="auto" w:sz="4" w:space="0"/>
            </w:tcBorders>
            <w:shd w:val="clear" w:color="auto" w:fill="auto"/>
            <w:vAlign w:val="center"/>
          </w:tcPr>
          <w:p>
            <w:pPr>
              <w:widowControl/>
              <w:autoSpaceDE/>
              <w:autoSpaceDN/>
              <w:adjustRightInd/>
              <w:jc w:val="center"/>
              <w:rPr>
                <w:rFonts w:hint="eastAsia" w:ascii="仿宋" w:hAnsi="仿宋" w:eastAsia="仿宋" w:cs="仿宋"/>
                <w:sz w:val="28"/>
                <w:szCs w:val="28"/>
              </w:rPr>
            </w:pPr>
            <w:r>
              <w:rPr>
                <w:rFonts w:hint="eastAsia" w:ascii="仿宋" w:hAnsi="仿宋" w:eastAsia="仿宋" w:cs="仿宋"/>
                <w:sz w:val="28"/>
                <w:szCs w:val="28"/>
              </w:rPr>
              <w:t>数量</w:t>
            </w:r>
          </w:p>
        </w:tc>
        <w:tc>
          <w:tcPr>
            <w:tcW w:w="1701" w:type="dxa"/>
            <w:tcBorders>
              <w:top w:val="single" w:color="auto" w:sz="8" w:space="0"/>
              <w:left w:val="nil"/>
              <w:bottom w:val="single" w:color="auto" w:sz="4" w:space="0"/>
              <w:right w:val="single" w:color="auto" w:sz="8" w:space="0"/>
            </w:tcBorders>
            <w:shd w:val="clear" w:color="auto" w:fill="auto"/>
            <w:vAlign w:val="center"/>
          </w:tcPr>
          <w:p>
            <w:pPr>
              <w:widowControl/>
              <w:autoSpaceDE/>
              <w:autoSpaceDN/>
              <w:adjustRightInd/>
              <w:jc w:val="center"/>
              <w:rPr>
                <w:rFonts w:hint="eastAsia" w:ascii="仿宋" w:hAnsi="仿宋" w:eastAsia="仿宋" w:cs="仿宋"/>
                <w:sz w:val="28"/>
                <w:szCs w:val="28"/>
              </w:rPr>
            </w:pPr>
            <w:r>
              <w:rPr>
                <w:rFonts w:hint="eastAsia" w:ascii="仿宋" w:hAnsi="仿宋" w:eastAsia="仿宋" w:cs="仿宋"/>
                <w:sz w:val="28"/>
                <w:szCs w:val="28"/>
              </w:rPr>
              <w:t>小计</w:t>
            </w:r>
          </w:p>
        </w:tc>
      </w:tr>
      <w:tr>
        <w:tblPrEx>
          <w:tblLayout w:type="fixed"/>
          <w:tblCellMar>
            <w:top w:w="0" w:type="dxa"/>
            <w:left w:w="108" w:type="dxa"/>
            <w:bottom w:w="0" w:type="dxa"/>
            <w:right w:w="108" w:type="dxa"/>
          </w:tblCellMar>
        </w:tblPrEx>
        <w:trPr>
          <w:trHeight w:val="345" w:hRule="atLeast"/>
          <w:jc w:val="center"/>
        </w:trPr>
        <w:tc>
          <w:tcPr>
            <w:tcW w:w="2425" w:type="dxa"/>
            <w:tcBorders>
              <w:top w:val="nil"/>
              <w:left w:val="single" w:color="auto" w:sz="8" w:space="0"/>
              <w:bottom w:val="single" w:color="auto" w:sz="4" w:space="0"/>
              <w:right w:val="single" w:color="auto" w:sz="4" w:space="0"/>
            </w:tcBorders>
            <w:shd w:val="clear" w:color="auto" w:fill="auto"/>
            <w:vAlign w:val="center"/>
          </w:tcPr>
          <w:p>
            <w:pPr>
              <w:widowControl/>
              <w:autoSpaceDE/>
              <w:autoSpaceDN/>
              <w:adjustRightInd/>
              <w:jc w:val="center"/>
              <w:rPr>
                <w:rFonts w:hint="eastAsia" w:ascii="仿宋" w:hAnsi="仿宋" w:eastAsia="仿宋" w:cs="仿宋"/>
                <w:sz w:val="28"/>
                <w:szCs w:val="28"/>
              </w:rPr>
            </w:pPr>
            <w:r>
              <w:rPr>
                <w:rFonts w:hint="eastAsia" w:ascii="仿宋" w:hAnsi="仿宋" w:eastAsia="仿宋" w:cs="仿宋"/>
                <w:sz w:val="28"/>
                <w:szCs w:val="28"/>
              </w:rPr>
              <w:t>博士</w:t>
            </w:r>
          </w:p>
        </w:tc>
        <w:tc>
          <w:tcPr>
            <w:tcW w:w="1559" w:type="dxa"/>
            <w:tcBorders>
              <w:top w:val="nil"/>
              <w:left w:val="nil"/>
              <w:bottom w:val="single" w:color="auto" w:sz="4" w:space="0"/>
              <w:right w:val="single" w:color="auto" w:sz="4" w:space="0"/>
            </w:tcBorders>
            <w:shd w:val="clear" w:color="auto" w:fill="auto"/>
            <w:vAlign w:val="center"/>
          </w:tcPr>
          <w:p>
            <w:pPr>
              <w:widowControl/>
              <w:autoSpaceDE/>
              <w:autoSpaceDN/>
              <w:adjustRightInd/>
              <w:jc w:val="center"/>
              <w:rPr>
                <w:rFonts w:hint="eastAsia" w:ascii="仿宋" w:hAnsi="仿宋" w:eastAsia="仿宋" w:cs="仿宋"/>
                <w:sz w:val="28"/>
                <w:szCs w:val="28"/>
              </w:rPr>
            </w:pPr>
            <w:r>
              <w:rPr>
                <w:rFonts w:hint="eastAsia" w:ascii="仿宋" w:hAnsi="仿宋" w:eastAsia="仿宋" w:cs="仿宋"/>
                <w:sz w:val="28"/>
                <w:szCs w:val="28"/>
              </w:rPr>
              <w:t>10000</w:t>
            </w:r>
          </w:p>
        </w:tc>
        <w:tc>
          <w:tcPr>
            <w:tcW w:w="1418" w:type="dxa"/>
            <w:tcBorders>
              <w:top w:val="nil"/>
              <w:left w:val="nil"/>
              <w:bottom w:val="single" w:color="auto" w:sz="4" w:space="0"/>
              <w:right w:val="single" w:color="auto" w:sz="4" w:space="0"/>
            </w:tcBorders>
            <w:shd w:val="clear" w:color="auto" w:fill="auto"/>
            <w:vAlign w:val="center"/>
          </w:tcPr>
          <w:p>
            <w:pPr>
              <w:widowControl/>
              <w:autoSpaceDE/>
              <w:autoSpaceDN/>
              <w:adjustRightInd/>
              <w:jc w:val="center"/>
              <w:rPr>
                <w:rFonts w:hint="eastAsia" w:ascii="仿宋" w:hAnsi="仿宋" w:eastAsia="仿宋" w:cs="仿宋"/>
                <w:sz w:val="28"/>
                <w:szCs w:val="28"/>
              </w:rPr>
            </w:pPr>
            <w:r>
              <w:rPr>
                <w:rFonts w:hint="eastAsia" w:ascii="仿宋" w:hAnsi="仿宋" w:eastAsia="仿宋" w:cs="仿宋"/>
                <w:sz w:val="28"/>
                <w:szCs w:val="28"/>
              </w:rPr>
              <w:t>2</w:t>
            </w:r>
          </w:p>
        </w:tc>
        <w:tc>
          <w:tcPr>
            <w:tcW w:w="1701" w:type="dxa"/>
            <w:tcBorders>
              <w:top w:val="nil"/>
              <w:left w:val="nil"/>
              <w:bottom w:val="single" w:color="auto" w:sz="4" w:space="0"/>
              <w:right w:val="single" w:color="auto" w:sz="8" w:space="0"/>
            </w:tcBorders>
            <w:shd w:val="clear" w:color="auto" w:fill="auto"/>
            <w:vAlign w:val="center"/>
          </w:tcPr>
          <w:p>
            <w:pPr>
              <w:widowControl/>
              <w:autoSpaceDE/>
              <w:autoSpaceDN/>
              <w:adjustRightInd/>
              <w:jc w:val="center"/>
              <w:rPr>
                <w:rFonts w:hint="eastAsia" w:ascii="仿宋" w:hAnsi="仿宋" w:eastAsia="仿宋" w:cs="仿宋"/>
                <w:sz w:val="28"/>
                <w:szCs w:val="28"/>
              </w:rPr>
            </w:pPr>
            <w:r>
              <w:rPr>
                <w:rFonts w:hint="eastAsia" w:ascii="仿宋" w:hAnsi="仿宋" w:eastAsia="仿宋" w:cs="仿宋"/>
                <w:sz w:val="28"/>
                <w:szCs w:val="28"/>
              </w:rPr>
              <w:t>20000</w:t>
            </w:r>
          </w:p>
        </w:tc>
      </w:tr>
      <w:tr>
        <w:tblPrEx>
          <w:tblLayout w:type="fixed"/>
          <w:tblCellMar>
            <w:top w:w="0" w:type="dxa"/>
            <w:left w:w="108" w:type="dxa"/>
            <w:bottom w:w="0" w:type="dxa"/>
            <w:right w:w="108" w:type="dxa"/>
          </w:tblCellMar>
        </w:tblPrEx>
        <w:trPr>
          <w:trHeight w:val="345" w:hRule="atLeast"/>
          <w:jc w:val="center"/>
        </w:trPr>
        <w:tc>
          <w:tcPr>
            <w:tcW w:w="2425" w:type="dxa"/>
            <w:tcBorders>
              <w:top w:val="nil"/>
              <w:left w:val="single" w:color="auto" w:sz="8" w:space="0"/>
              <w:bottom w:val="single" w:color="auto" w:sz="4" w:space="0"/>
              <w:right w:val="single" w:color="auto" w:sz="4" w:space="0"/>
            </w:tcBorders>
            <w:shd w:val="clear" w:color="auto" w:fill="auto"/>
            <w:vAlign w:val="center"/>
          </w:tcPr>
          <w:p>
            <w:pPr>
              <w:widowControl/>
              <w:autoSpaceDE/>
              <w:autoSpaceDN/>
              <w:adjustRightInd/>
              <w:jc w:val="center"/>
              <w:rPr>
                <w:rFonts w:hint="eastAsia" w:ascii="仿宋" w:hAnsi="仿宋" w:eastAsia="仿宋" w:cs="仿宋"/>
                <w:sz w:val="28"/>
                <w:szCs w:val="28"/>
              </w:rPr>
            </w:pPr>
            <w:r>
              <w:rPr>
                <w:rFonts w:hint="eastAsia" w:ascii="仿宋" w:hAnsi="仿宋" w:eastAsia="仿宋" w:cs="仿宋"/>
                <w:sz w:val="28"/>
                <w:szCs w:val="28"/>
              </w:rPr>
              <w:t>硕士</w:t>
            </w:r>
          </w:p>
        </w:tc>
        <w:tc>
          <w:tcPr>
            <w:tcW w:w="1559" w:type="dxa"/>
            <w:tcBorders>
              <w:top w:val="nil"/>
              <w:left w:val="nil"/>
              <w:bottom w:val="single" w:color="auto" w:sz="4" w:space="0"/>
              <w:right w:val="single" w:color="auto" w:sz="4" w:space="0"/>
            </w:tcBorders>
            <w:shd w:val="clear" w:color="auto" w:fill="auto"/>
            <w:vAlign w:val="center"/>
          </w:tcPr>
          <w:p>
            <w:pPr>
              <w:widowControl/>
              <w:autoSpaceDE/>
              <w:autoSpaceDN/>
              <w:adjustRightInd/>
              <w:jc w:val="center"/>
              <w:rPr>
                <w:rFonts w:hint="eastAsia" w:ascii="仿宋" w:hAnsi="仿宋" w:eastAsia="仿宋" w:cs="仿宋"/>
                <w:sz w:val="28"/>
                <w:szCs w:val="28"/>
              </w:rPr>
            </w:pPr>
            <w:r>
              <w:rPr>
                <w:rFonts w:hint="eastAsia" w:ascii="仿宋" w:hAnsi="仿宋" w:eastAsia="仿宋" w:cs="仿宋"/>
                <w:sz w:val="28"/>
                <w:szCs w:val="28"/>
              </w:rPr>
              <w:t>8000</w:t>
            </w:r>
          </w:p>
        </w:tc>
        <w:tc>
          <w:tcPr>
            <w:tcW w:w="1418" w:type="dxa"/>
            <w:tcBorders>
              <w:top w:val="nil"/>
              <w:left w:val="nil"/>
              <w:bottom w:val="single" w:color="auto" w:sz="4" w:space="0"/>
              <w:right w:val="single" w:color="auto" w:sz="4" w:space="0"/>
            </w:tcBorders>
            <w:shd w:val="clear" w:color="auto" w:fill="auto"/>
            <w:vAlign w:val="center"/>
          </w:tcPr>
          <w:p>
            <w:pPr>
              <w:widowControl/>
              <w:autoSpaceDE/>
              <w:autoSpaceDN/>
              <w:adjustRightInd/>
              <w:jc w:val="center"/>
              <w:rPr>
                <w:rFonts w:hint="eastAsia" w:ascii="仿宋" w:hAnsi="仿宋" w:eastAsia="仿宋" w:cs="仿宋"/>
                <w:sz w:val="28"/>
                <w:szCs w:val="28"/>
              </w:rPr>
            </w:pPr>
            <w:r>
              <w:rPr>
                <w:rFonts w:hint="eastAsia" w:ascii="仿宋" w:hAnsi="仿宋" w:eastAsia="仿宋" w:cs="仿宋"/>
                <w:sz w:val="28"/>
                <w:szCs w:val="28"/>
              </w:rPr>
              <w:t>6</w:t>
            </w:r>
          </w:p>
        </w:tc>
        <w:tc>
          <w:tcPr>
            <w:tcW w:w="1701" w:type="dxa"/>
            <w:tcBorders>
              <w:top w:val="nil"/>
              <w:left w:val="nil"/>
              <w:bottom w:val="single" w:color="auto" w:sz="4" w:space="0"/>
              <w:right w:val="single" w:color="auto" w:sz="8" w:space="0"/>
            </w:tcBorders>
            <w:shd w:val="clear" w:color="auto" w:fill="auto"/>
            <w:vAlign w:val="center"/>
          </w:tcPr>
          <w:p>
            <w:pPr>
              <w:widowControl/>
              <w:autoSpaceDE/>
              <w:autoSpaceDN/>
              <w:adjustRightInd/>
              <w:jc w:val="center"/>
              <w:rPr>
                <w:rFonts w:hint="eastAsia" w:ascii="仿宋" w:hAnsi="仿宋" w:eastAsia="仿宋" w:cs="仿宋"/>
                <w:sz w:val="28"/>
                <w:szCs w:val="28"/>
              </w:rPr>
            </w:pPr>
            <w:r>
              <w:rPr>
                <w:rFonts w:hint="eastAsia" w:ascii="仿宋" w:hAnsi="仿宋" w:eastAsia="仿宋" w:cs="仿宋"/>
                <w:sz w:val="28"/>
                <w:szCs w:val="28"/>
              </w:rPr>
              <w:t>48000</w:t>
            </w:r>
          </w:p>
        </w:tc>
      </w:tr>
      <w:tr>
        <w:tblPrEx>
          <w:tblLayout w:type="fixed"/>
          <w:tblCellMar>
            <w:top w:w="0" w:type="dxa"/>
            <w:left w:w="108" w:type="dxa"/>
            <w:bottom w:w="0" w:type="dxa"/>
            <w:right w:w="108" w:type="dxa"/>
          </w:tblCellMar>
        </w:tblPrEx>
        <w:trPr>
          <w:trHeight w:val="345" w:hRule="atLeast"/>
          <w:jc w:val="center"/>
        </w:trPr>
        <w:tc>
          <w:tcPr>
            <w:tcW w:w="2425" w:type="dxa"/>
            <w:tcBorders>
              <w:top w:val="nil"/>
              <w:left w:val="single" w:color="auto" w:sz="8" w:space="0"/>
              <w:bottom w:val="single" w:color="auto" w:sz="4" w:space="0"/>
              <w:right w:val="single" w:color="auto" w:sz="4" w:space="0"/>
            </w:tcBorders>
            <w:shd w:val="clear" w:color="auto" w:fill="auto"/>
            <w:vAlign w:val="center"/>
          </w:tcPr>
          <w:p>
            <w:pPr>
              <w:widowControl/>
              <w:autoSpaceDE/>
              <w:autoSpaceDN/>
              <w:adjustRightInd/>
              <w:jc w:val="center"/>
              <w:rPr>
                <w:rFonts w:hint="eastAsia" w:ascii="仿宋" w:hAnsi="仿宋" w:eastAsia="仿宋" w:cs="仿宋"/>
                <w:sz w:val="28"/>
                <w:szCs w:val="28"/>
              </w:rPr>
            </w:pPr>
            <w:r>
              <w:rPr>
                <w:rFonts w:hint="eastAsia" w:ascii="仿宋" w:hAnsi="仿宋" w:eastAsia="仿宋" w:cs="仿宋"/>
                <w:sz w:val="28"/>
                <w:szCs w:val="28"/>
              </w:rPr>
              <w:t>本科</w:t>
            </w:r>
          </w:p>
        </w:tc>
        <w:tc>
          <w:tcPr>
            <w:tcW w:w="1559" w:type="dxa"/>
            <w:tcBorders>
              <w:top w:val="nil"/>
              <w:left w:val="nil"/>
              <w:bottom w:val="single" w:color="auto" w:sz="4" w:space="0"/>
              <w:right w:val="single" w:color="auto" w:sz="4" w:space="0"/>
            </w:tcBorders>
            <w:shd w:val="clear" w:color="auto" w:fill="auto"/>
            <w:vAlign w:val="center"/>
          </w:tcPr>
          <w:p>
            <w:pPr>
              <w:widowControl/>
              <w:autoSpaceDE/>
              <w:autoSpaceDN/>
              <w:adjustRightInd/>
              <w:jc w:val="center"/>
              <w:rPr>
                <w:rFonts w:hint="eastAsia" w:ascii="仿宋" w:hAnsi="仿宋" w:eastAsia="仿宋" w:cs="仿宋"/>
                <w:sz w:val="28"/>
                <w:szCs w:val="28"/>
              </w:rPr>
            </w:pPr>
            <w:r>
              <w:rPr>
                <w:rFonts w:hint="eastAsia" w:ascii="仿宋" w:hAnsi="仿宋" w:eastAsia="仿宋" w:cs="仿宋"/>
                <w:sz w:val="28"/>
                <w:szCs w:val="28"/>
              </w:rPr>
              <w:t>6000</w:t>
            </w:r>
          </w:p>
        </w:tc>
        <w:tc>
          <w:tcPr>
            <w:tcW w:w="1418" w:type="dxa"/>
            <w:tcBorders>
              <w:top w:val="nil"/>
              <w:left w:val="nil"/>
              <w:bottom w:val="single" w:color="auto" w:sz="4" w:space="0"/>
              <w:right w:val="single" w:color="auto" w:sz="4" w:space="0"/>
            </w:tcBorders>
            <w:shd w:val="clear" w:color="auto" w:fill="auto"/>
            <w:vAlign w:val="center"/>
          </w:tcPr>
          <w:p>
            <w:pPr>
              <w:widowControl/>
              <w:autoSpaceDE/>
              <w:autoSpaceDN/>
              <w:adjustRightInd/>
              <w:jc w:val="center"/>
              <w:rPr>
                <w:rFonts w:hint="eastAsia" w:ascii="仿宋" w:hAnsi="仿宋" w:eastAsia="仿宋" w:cs="仿宋"/>
                <w:sz w:val="28"/>
                <w:szCs w:val="28"/>
              </w:rPr>
            </w:pPr>
            <w:r>
              <w:rPr>
                <w:rFonts w:hint="eastAsia" w:ascii="仿宋" w:hAnsi="仿宋" w:eastAsia="仿宋" w:cs="仿宋"/>
                <w:sz w:val="28"/>
                <w:szCs w:val="28"/>
              </w:rPr>
              <w:t>4</w:t>
            </w:r>
          </w:p>
        </w:tc>
        <w:tc>
          <w:tcPr>
            <w:tcW w:w="1701" w:type="dxa"/>
            <w:tcBorders>
              <w:top w:val="nil"/>
              <w:left w:val="nil"/>
              <w:bottom w:val="single" w:color="auto" w:sz="4" w:space="0"/>
              <w:right w:val="single" w:color="auto" w:sz="8" w:space="0"/>
            </w:tcBorders>
            <w:shd w:val="clear" w:color="auto" w:fill="auto"/>
            <w:vAlign w:val="center"/>
          </w:tcPr>
          <w:p>
            <w:pPr>
              <w:widowControl/>
              <w:autoSpaceDE/>
              <w:autoSpaceDN/>
              <w:adjustRightInd/>
              <w:jc w:val="center"/>
              <w:rPr>
                <w:rFonts w:hint="eastAsia" w:ascii="仿宋" w:hAnsi="仿宋" w:eastAsia="仿宋" w:cs="仿宋"/>
                <w:sz w:val="28"/>
                <w:szCs w:val="28"/>
              </w:rPr>
            </w:pPr>
            <w:r>
              <w:rPr>
                <w:rFonts w:hint="eastAsia" w:ascii="仿宋" w:hAnsi="仿宋" w:eastAsia="仿宋" w:cs="仿宋"/>
                <w:sz w:val="28"/>
                <w:szCs w:val="28"/>
              </w:rPr>
              <w:t>24000</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b/>
          <w:bCs/>
          <w:sz w:val="28"/>
          <w:szCs w:val="28"/>
        </w:rPr>
      </w:pPr>
      <w:r>
        <w:rPr>
          <w:rFonts w:hint="eastAsia" w:ascii="仿宋" w:hAnsi="仿宋" w:eastAsia="仿宋" w:cs="仿宋"/>
          <w:b/>
          <w:bCs/>
          <w:sz w:val="28"/>
          <w:szCs w:val="28"/>
          <w:lang w:val="en-US" w:eastAsia="zh-CN"/>
        </w:rPr>
        <w:t>评选</w:t>
      </w:r>
      <w:r>
        <w:rPr>
          <w:rFonts w:hint="eastAsia" w:ascii="仿宋" w:hAnsi="仿宋" w:eastAsia="仿宋" w:cs="仿宋"/>
          <w:b/>
          <w:bCs/>
          <w:sz w:val="28"/>
          <w:szCs w:val="28"/>
        </w:rPr>
        <w:t>办法：</w:t>
      </w:r>
    </w:p>
    <w:p>
      <w:pPr>
        <w:keepNext w:val="0"/>
        <w:keepLines w:val="0"/>
        <w:pageBreakBefore w:val="0"/>
        <w:widowControl w:val="0"/>
        <w:numPr>
          <w:ilvl w:val="0"/>
          <w:numId w:val="28"/>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执行机构：华为教育基金评审小组作为华为奖学金、奖教金的评审工作领导小组，由北京交通大学学生工作处、研究生工作部、人事处、教育基金会组成，主要工作包括但不限于以下事项；</w:t>
      </w:r>
    </w:p>
    <w:p>
      <w:pPr>
        <w:keepNext w:val="0"/>
        <w:keepLines w:val="0"/>
        <w:pageBreakBefore w:val="0"/>
        <w:widowControl w:val="0"/>
        <w:numPr>
          <w:ilvl w:val="0"/>
          <w:numId w:val="28"/>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负责组织“华为奖学金、华为奖教金”评审委员会，制定评审条例或细则和组织颁奖事宜，并征得甲方认可；</w:t>
      </w:r>
    </w:p>
    <w:p>
      <w:pPr>
        <w:keepNext w:val="0"/>
        <w:keepLines w:val="0"/>
        <w:pageBreakBefore w:val="0"/>
        <w:widowControl w:val="0"/>
        <w:numPr>
          <w:ilvl w:val="0"/>
          <w:numId w:val="28"/>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将获奖者登记表（装订成册）报送甲方人力资源部备案，并在校刊、网站上予以报道；</w:t>
      </w:r>
    </w:p>
    <w:p>
      <w:pPr>
        <w:keepNext w:val="0"/>
        <w:keepLines w:val="0"/>
        <w:pageBreakBefore w:val="0"/>
        <w:widowControl w:val="0"/>
        <w:numPr>
          <w:ilvl w:val="0"/>
          <w:numId w:val="28"/>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负责策划实施奖学金颁奖，公司代表、校方代表及获奖学生、教师参加颁奖并座谈交流；</w:t>
      </w:r>
    </w:p>
    <w:p>
      <w:pPr>
        <w:keepNext w:val="0"/>
        <w:keepLines w:val="0"/>
        <w:pageBreakBefore w:val="0"/>
        <w:widowControl w:val="0"/>
        <w:numPr>
          <w:ilvl w:val="0"/>
          <w:numId w:val="28"/>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奖学金、奖教金候选人推荐与选拔：由学院负责推荐候选人，报领导小组初评，后由甲方审核确定最终获奖者；</w:t>
      </w:r>
    </w:p>
    <w:p>
      <w:pPr>
        <w:keepNext w:val="0"/>
        <w:keepLines w:val="0"/>
        <w:pageBreakBefore w:val="0"/>
        <w:widowControl w:val="0"/>
        <w:numPr>
          <w:ilvl w:val="0"/>
          <w:numId w:val="28"/>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其中奖学金候选人需提供本学院次年毕业本科生中成绩排名前50%学生信息，以及全部硕士博士研究方向等相关信息，并给出获奖排序，候选人信息汇总表模版如下：</w:t>
      </w:r>
    </w:p>
    <w:tbl>
      <w:tblPr>
        <w:tblStyle w:val="11"/>
        <w:tblW w:w="8765" w:type="dxa"/>
        <w:tblInd w:w="103" w:type="dxa"/>
        <w:tblLayout w:type="fixed"/>
        <w:tblCellMar>
          <w:top w:w="0" w:type="dxa"/>
          <w:left w:w="108" w:type="dxa"/>
          <w:bottom w:w="0" w:type="dxa"/>
          <w:right w:w="108" w:type="dxa"/>
        </w:tblCellMar>
      </w:tblPr>
      <w:tblGrid>
        <w:gridCol w:w="660"/>
        <w:gridCol w:w="660"/>
        <w:gridCol w:w="660"/>
        <w:gridCol w:w="660"/>
        <w:gridCol w:w="900"/>
        <w:gridCol w:w="660"/>
        <w:gridCol w:w="1025"/>
        <w:gridCol w:w="2225"/>
        <w:gridCol w:w="655"/>
        <w:gridCol w:w="660"/>
      </w:tblGrid>
      <w:tr>
        <w:tblPrEx>
          <w:tblLayout w:type="fixed"/>
          <w:tblCellMar>
            <w:top w:w="0" w:type="dxa"/>
            <w:left w:w="108" w:type="dxa"/>
            <w:bottom w:w="0" w:type="dxa"/>
            <w:right w:w="108" w:type="dxa"/>
          </w:tblCellMar>
        </w:tblPrEx>
        <w:trPr>
          <w:trHeight w:val="300" w:hRule="atLeast"/>
        </w:trPr>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 w:hAnsi="仿宋" w:eastAsia="仿宋" w:cs="仿宋"/>
                <w:sz w:val="28"/>
                <w:szCs w:val="28"/>
              </w:rPr>
            </w:pPr>
            <w:r>
              <w:rPr>
                <w:rFonts w:hint="eastAsia" w:ascii="仿宋" w:hAnsi="仿宋" w:eastAsia="仿宋" w:cs="仿宋"/>
                <w:sz w:val="28"/>
                <w:szCs w:val="28"/>
              </w:rPr>
              <w:t>排序</w:t>
            </w:r>
          </w:p>
        </w:tc>
        <w:tc>
          <w:tcPr>
            <w:tcW w:w="66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 w:hAnsi="仿宋" w:eastAsia="仿宋" w:cs="仿宋"/>
                <w:sz w:val="28"/>
                <w:szCs w:val="28"/>
              </w:rPr>
            </w:pPr>
            <w:r>
              <w:rPr>
                <w:rFonts w:hint="eastAsia" w:ascii="仿宋" w:hAnsi="仿宋" w:eastAsia="仿宋" w:cs="仿宋"/>
                <w:sz w:val="28"/>
                <w:szCs w:val="28"/>
              </w:rPr>
              <w:t>姓名</w:t>
            </w:r>
          </w:p>
        </w:tc>
        <w:tc>
          <w:tcPr>
            <w:tcW w:w="66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 w:hAnsi="仿宋" w:eastAsia="仿宋" w:cs="仿宋"/>
                <w:sz w:val="28"/>
                <w:szCs w:val="28"/>
              </w:rPr>
            </w:pPr>
            <w:r>
              <w:rPr>
                <w:rFonts w:hint="eastAsia" w:ascii="仿宋" w:hAnsi="仿宋" w:eastAsia="仿宋" w:cs="仿宋"/>
                <w:sz w:val="28"/>
                <w:szCs w:val="28"/>
              </w:rPr>
              <w:t>学院</w:t>
            </w:r>
          </w:p>
        </w:tc>
        <w:tc>
          <w:tcPr>
            <w:tcW w:w="66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 w:hAnsi="仿宋" w:eastAsia="仿宋" w:cs="仿宋"/>
                <w:sz w:val="28"/>
                <w:szCs w:val="28"/>
              </w:rPr>
            </w:pPr>
            <w:r>
              <w:rPr>
                <w:rFonts w:hint="eastAsia" w:ascii="仿宋" w:hAnsi="仿宋" w:eastAsia="仿宋" w:cs="仿宋"/>
                <w:sz w:val="28"/>
                <w:szCs w:val="28"/>
              </w:rPr>
              <w:t>专业</w:t>
            </w:r>
          </w:p>
        </w:tc>
        <w:tc>
          <w:tcPr>
            <w:tcW w:w="90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 w:hAnsi="仿宋" w:eastAsia="仿宋" w:cs="仿宋"/>
                <w:sz w:val="28"/>
                <w:szCs w:val="28"/>
              </w:rPr>
            </w:pPr>
            <w:r>
              <w:rPr>
                <w:rFonts w:hint="eastAsia" w:ascii="仿宋" w:hAnsi="仿宋" w:eastAsia="仿宋" w:cs="仿宋"/>
                <w:sz w:val="28"/>
                <w:szCs w:val="28"/>
              </w:rPr>
              <w:t>实验室</w:t>
            </w:r>
          </w:p>
        </w:tc>
        <w:tc>
          <w:tcPr>
            <w:tcW w:w="66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 w:hAnsi="仿宋" w:eastAsia="仿宋" w:cs="仿宋"/>
                <w:sz w:val="28"/>
                <w:szCs w:val="28"/>
              </w:rPr>
            </w:pPr>
            <w:r>
              <w:rPr>
                <w:rFonts w:hint="eastAsia" w:ascii="仿宋" w:hAnsi="仿宋" w:eastAsia="仿宋" w:cs="仿宋"/>
                <w:sz w:val="28"/>
                <w:szCs w:val="28"/>
              </w:rPr>
              <w:t>导师</w:t>
            </w:r>
          </w:p>
        </w:tc>
        <w:tc>
          <w:tcPr>
            <w:tcW w:w="102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 w:hAnsi="仿宋" w:eastAsia="仿宋" w:cs="仿宋"/>
                <w:sz w:val="28"/>
                <w:szCs w:val="28"/>
              </w:rPr>
            </w:pPr>
            <w:r>
              <w:rPr>
                <w:rFonts w:hint="eastAsia" w:ascii="仿宋" w:hAnsi="仿宋" w:eastAsia="仿宋" w:cs="仿宋"/>
                <w:sz w:val="28"/>
                <w:szCs w:val="28"/>
              </w:rPr>
              <w:t>在读学位</w:t>
            </w:r>
          </w:p>
        </w:tc>
        <w:tc>
          <w:tcPr>
            <w:tcW w:w="222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 w:hAnsi="仿宋" w:eastAsia="仿宋" w:cs="仿宋"/>
                <w:sz w:val="28"/>
                <w:szCs w:val="28"/>
              </w:rPr>
            </w:pPr>
            <w:r>
              <w:rPr>
                <w:rFonts w:hint="eastAsia" w:ascii="仿宋" w:hAnsi="仿宋" w:eastAsia="仿宋" w:cs="仿宋"/>
                <w:sz w:val="28"/>
                <w:szCs w:val="28"/>
              </w:rPr>
              <w:t>本科成绩排名/研究生课题</w:t>
            </w:r>
          </w:p>
        </w:tc>
        <w:tc>
          <w:tcPr>
            <w:tcW w:w="65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 w:hAnsi="仿宋" w:eastAsia="仿宋" w:cs="仿宋"/>
                <w:sz w:val="28"/>
                <w:szCs w:val="28"/>
              </w:rPr>
            </w:pPr>
            <w:r>
              <w:rPr>
                <w:rFonts w:hint="eastAsia" w:ascii="仿宋" w:hAnsi="仿宋" w:eastAsia="仿宋" w:cs="仿宋"/>
                <w:sz w:val="28"/>
                <w:szCs w:val="28"/>
              </w:rPr>
              <w:t>邮箱</w:t>
            </w:r>
          </w:p>
        </w:tc>
        <w:tc>
          <w:tcPr>
            <w:tcW w:w="66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 w:hAnsi="仿宋" w:eastAsia="仿宋" w:cs="仿宋"/>
                <w:sz w:val="28"/>
                <w:szCs w:val="28"/>
              </w:rPr>
            </w:pPr>
            <w:r>
              <w:rPr>
                <w:rFonts w:hint="eastAsia" w:ascii="仿宋" w:hAnsi="仿宋" w:eastAsia="仿宋" w:cs="仿宋"/>
                <w:sz w:val="28"/>
                <w:szCs w:val="28"/>
              </w:rPr>
              <w:t>手机</w:t>
            </w:r>
          </w:p>
        </w:tc>
      </w:tr>
      <w:tr>
        <w:tblPrEx>
          <w:tblLayout w:type="fixed"/>
          <w:tblCellMar>
            <w:top w:w="0" w:type="dxa"/>
            <w:left w:w="108" w:type="dxa"/>
            <w:bottom w:w="0" w:type="dxa"/>
            <w:right w:w="108" w:type="dxa"/>
          </w:tblCellMar>
        </w:tblPrEx>
        <w:trPr>
          <w:trHeight w:val="300" w:hRule="atLeast"/>
        </w:trPr>
        <w:tc>
          <w:tcPr>
            <w:tcW w:w="660"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 w:hAnsi="仿宋" w:eastAsia="仿宋" w:cs="仿宋"/>
                <w:sz w:val="28"/>
                <w:szCs w:val="28"/>
              </w:rPr>
            </w:pPr>
          </w:p>
        </w:tc>
        <w:tc>
          <w:tcPr>
            <w:tcW w:w="66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 w:hAnsi="仿宋" w:eastAsia="仿宋" w:cs="仿宋"/>
                <w:sz w:val="28"/>
                <w:szCs w:val="28"/>
              </w:rPr>
            </w:pPr>
          </w:p>
        </w:tc>
        <w:tc>
          <w:tcPr>
            <w:tcW w:w="66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 w:hAnsi="仿宋" w:eastAsia="仿宋" w:cs="仿宋"/>
                <w:sz w:val="28"/>
                <w:szCs w:val="28"/>
              </w:rPr>
            </w:pPr>
          </w:p>
        </w:tc>
        <w:tc>
          <w:tcPr>
            <w:tcW w:w="66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 w:hAnsi="仿宋" w:eastAsia="仿宋" w:cs="仿宋"/>
                <w:sz w:val="28"/>
                <w:szCs w:val="28"/>
              </w:rPr>
            </w:pPr>
          </w:p>
        </w:tc>
        <w:tc>
          <w:tcPr>
            <w:tcW w:w="90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 w:hAnsi="仿宋" w:eastAsia="仿宋" w:cs="仿宋"/>
                <w:sz w:val="28"/>
                <w:szCs w:val="28"/>
              </w:rPr>
            </w:pPr>
          </w:p>
        </w:tc>
        <w:tc>
          <w:tcPr>
            <w:tcW w:w="66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 w:hAnsi="仿宋" w:eastAsia="仿宋" w:cs="仿宋"/>
                <w:sz w:val="28"/>
                <w:szCs w:val="28"/>
              </w:rPr>
            </w:pPr>
          </w:p>
        </w:tc>
        <w:tc>
          <w:tcPr>
            <w:tcW w:w="102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 w:hAnsi="仿宋" w:eastAsia="仿宋" w:cs="仿宋"/>
                <w:sz w:val="28"/>
                <w:szCs w:val="28"/>
              </w:rPr>
            </w:pPr>
          </w:p>
        </w:tc>
        <w:tc>
          <w:tcPr>
            <w:tcW w:w="222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 w:hAnsi="仿宋" w:eastAsia="仿宋" w:cs="仿宋"/>
                <w:sz w:val="28"/>
                <w:szCs w:val="28"/>
              </w:rPr>
            </w:pPr>
          </w:p>
        </w:tc>
        <w:tc>
          <w:tcPr>
            <w:tcW w:w="65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 w:hAnsi="仿宋" w:eastAsia="仿宋" w:cs="仿宋"/>
                <w:sz w:val="28"/>
                <w:szCs w:val="28"/>
              </w:rPr>
            </w:pPr>
          </w:p>
        </w:tc>
        <w:tc>
          <w:tcPr>
            <w:tcW w:w="66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 w:hAnsi="仿宋" w:eastAsia="仿宋" w:cs="仿宋"/>
                <w:sz w:val="28"/>
                <w:szCs w:val="28"/>
              </w:rPr>
            </w:pPr>
          </w:p>
        </w:tc>
      </w:tr>
      <w:tr>
        <w:tblPrEx>
          <w:tblLayout w:type="fixed"/>
          <w:tblCellMar>
            <w:top w:w="0" w:type="dxa"/>
            <w:left w:w="108" w:type="dxa"/>
            <w:bottom w:w="0" w:type="dxa"/>
            <w:right w:w="108" w:type="dxa"/>
          </w:tblCellMar>
        </w:tblPrEx>
        <w:trPr>
          <w:trHeight w:val="300" w:hRule="atLeast"/>
        </w:trPr>
        <w:tc>
          <w:tcPr>
            <w:tcW w:w="660"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 w:hAnsi="仿宋" w:eastAsia="仿宋" w:cs="仿宋"/>
                <w:sz w:val="28"/>
                <w:szCs w:val="28"/>
              </w:rPr>
            </w:pPr>
          </w:p>
        </w:tc>
        <w:tc>
          <w:tcPr>
            <w:tcW w:w="66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 w:hAnsi="仿宋" w:eastAsia="仿宋" w:cs="仿宋"/>
                <w:sz w:val="28"/>
                <w:szCs w:val="28"/>
              </w:rPr>
            </w:pPr>
          </w:p>
        </w:tc>
        <w:tc>
          <w:tcPr>
            <w:tcW w:w="66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 w:hAnsi="仿宋" w:eastAsia="仿宋" w:cs="仿宋"/>
                <w:sz w:val="28"/>
                <w:szCs w:val="28"/>
              </w:rPr>
            </w:pPr>
          </w:p>
        </w:tc>
        <w:tc>
          <w:tcPr>
            <w:tcW w:w="66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 w:hAnsi="仿宋" w:eastAsia="仿宋" w:cs="仿宋"/>
                <w:sz w:val="28"/>
                <w:szCs w:val="28"/>
              </w:rPr>
            </w:pPr>
          </w:p>
        </w:tc>
        <w:tc>
          <w:tcPr>
            <w:tcW w:w="90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 w:hAnsi="仿宋" w:eastAsia="仿宋" w:cs="仿宋"/>
                <w:sz w:val="28"/>
                <w:szCs w:val="28"/>
              </w:rPr>
            </w:pPr>
          </w:p>
        </w:tc>
        <w:tc>
          <w:tcPr>
            <w:tcW w:w="66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 w:hAnsi="仿宋" w:eastAsia="仿宋" w:cs="仿宋"/>
                <w:sz w:val="28"/>
                <w:szCs w:val="28"/>
              </w:rPr>
            </w:pPr>
          </w:p>
        </w:tc>
        <w:tc>
          <w:tcPr>
            <w:tcW w:w="102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 w:hAnsi="仿宋" w:eastAsia="仿宋" w:cs="仿宋"/>
                <w:sz w:val="28"/>
                <w:szCs w:val="28"/>
              </w:rPr>
            </w:pPr>
          </w:p>
        </w:tc>
        <w:tc>
          <w:tcPr>
            <w:tcW w:w="222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 w:hAnsi="仿宋" w:eastAsia="仿宋" w:cs="仿宋"/>
                <w:sz w:val="28"/>
                <w:szCs w:val="28"/>
              </w:rPr>
            </w:pPr>
          </w:p>
        </w:tc>
        <w:tc>
          <w:tcPr>
            <w:tcW w:w="65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 w:hAnsi="仿宋" w:eastAsia="仿宋" w:cs="仿宋"/>
                <w:sz w:val="28"/>
                <w:szCs w:val="28"/>
              </w:rPr>
            </w:pPr>
          </w:p>
        </w:tc>
        <w:tc>
          <w:tcPr>
            <w:tcW w:w="66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 w:hAnsi="仿宋" w:eastAsia="仿宋" w:cs="仿宋"/>
                <w:sz w:val="28"/>
                <w:szCs w:val="28"/>
              </w:rPr>
            </w:pPr>
          </w:p>
        </w:tc>
      </w:tr>
      <w:tr>
        <w:tblPrEx>
          <w:tblLayout w:type="fixed"/>
          <w:tblCellMar>
            <w:top w:w="0" w:type="dxa"/>
            <w:left w:w="108" w:type="dxa"/>
            <w:bottom w:w="0" w:type="dxa"/>
            <w:right w:w="108" w:type="dxa"/>
          </w:tblCellMar>
        </w:tblPrEx>
        <w:trPr>
          <w:trHeight w:val="300" w:hRule="atLeast"/>
        </w:trPr>
        <w:tc>
          <w:tcPr>
            <w:tcW w:w="660"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 w:hAnsi="仿宋" w:eastAsia="仿宋" w:cs="仿宋"/>
                <w:sz w:val="28"/>
                <w:szCs w:val="28"/>
              </w:rPr>
            </w:pPr>
          </w:p>
        </w:tc>
        <w:tc>
          <w:tcPr>
            <w:tcW w:w="66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 w:hAnsi="仿宋" w:eastAsia="仿宋" w:cs="仿宋"/>
                <w:sz w:val="28"/>
                <w:szCs w:val="28"/>
              </w:rPr>
            </w:pPr>
          </w:p>
        </w:tc>
        <w:tc>
          <w:tcPr>
            <w:tcW w:w="66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 w:hAnsi="仿宋" w:eastAsia="仿宋" w:cs="仿宋"/>
                <w:sz w:val="28"/>
                <w:szCs w:val="28"/>
              </w:rPr>
            </w:pPr>
          </w:p>
        </w:tc>
        <w:tc>
          <w:tcPr>
            <w:tcW w:w="66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 w:hAnsi="仿宋" w:eastAsia="仿宋" w:cs="仿宋"/>
                <w:sz w:val="28"/>
                <w:szCs w:val="28"/>
              </w:rPr>
            </w:pPr>
          </w:p>
        </w:tc>
        <w:tc>
          <w:tcPr>
            <w:tcW w:w="90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 w:hAnsi="仿宋" w:eastAsia="仿宋" w:cs="仿宋"/>
                <w:sz w:val="28"/>
                <w:szCs w:val="28"/>
              </w:rPr>
            </w:pPr>
          </w:p>
        </w:tc>
        <w:tc>
          <w:tcPr>
            <w:tcW w:w="66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 w:hAnsi="仿宋" w:eastAsia="仿宋" w:cs="仿宋"/>
                <w:sz w:val="28"/>
                <w:szCs w:val="28"/>
              </w:rPr>
            </w:pPr>
          </w:p>
        </w:tc>
        <w:tc>
          <w:tcPr>
            <w:tcW w:w="102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 w:hAnsi="仿宋" w:eastAsia="仿宋" w:cs="仿宋"/>
                <w:sz w:val="28"/>
                <w:szCs w:val="28"/>
              </w:rPr>
            </w:pPr>
          </w:p>
        </w:tc>
        <w:tc>
          <w:tcPr>
            <w:tcW w:w="222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 w:hAnsi="仿宋" w:eastAsia="仿宋" w:cs="仿宋"/>
                <w:sz w:val="28"/>
                <w:szCs w:val="28"/>
              </w:rPr>
            </w:pPr>
          </w:p>
        </w:tc>
        <w:tc>
          <w:tcPr>
            <w:tcW w:w="65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 w:hAnsi="仿宋" w:eastAsia="仿宋" w:cs="仿宋"/>
                <w:sz w:val="28"/>
                <w:szCs w:val="28"/>
              </w:rPr>
            </w:pPr>
          </w:p>
        </w:tc>
        <w:tc>
          <w:tcPr>
            <w:tcW w:w="66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 w:hAnsi="仿宋" w:eastAsia="仿宋" w:cs="仿宋"/>
                <w:sz w:val="28"/>
                <w:szCs w:val="28"/>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28"/>
          <w:szCs w:val="28"/>
          <w:lang w:val="en-US" w:eastAsia="zh-CN"/>
        </w:rPr>
      </w:pPr>
    </w:p>
    <w:p>
      <w:pPr>
        <w:rPr>
          <w:rFonts w:hint="eastAsia"/>
          <w:lang w:val="en-US" w:eastAsia="zh-CN"/>
        </w:rPr>
      </w:pPr>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 w:hAnsi="仿宋" w:eastAsia="仿宋" w:cs="仿宋"/>
          <w:b/>
          <w:bCs/>
          <w:sz w:val="28"/>
          <w:szCs w:val="28"/>
          <w:lang w:val="en-US" w:eastAsia="zh-CN"/>
        </w:rPr>
      </w:pPr>
    </w:p>
    <w:p>
      <w:pPr>
        <w:pStyle w:val="2"/>
        <w:keepNext/>
        <w:keepLines/>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Chars="0" w:right="0" w:rightChars="0"/>
        <w:jc w:val="both"/>
        <w:textAlignment w:val="auto"/>
        <w:outlineLvl w:val="0"/>
        <w:rPr>
          <w:rFonts w:hint="eastAsia" w:ascii="仿宋" w:hAnsi="仿宋" w:eastAsia="仿宋" w:cs="仿宋"/>
          <w:b w:val="0"/>
          <w:bCs/>
          <w:sz w:val="30"/>
          <w:szCs w:val="30"/>
          <w:lang w:val="en-US" w:eastAsia="zh-CN"/>
        </w:rPr>
      </w:pPr>
    </w:p>
    <w:p>
      <w:pPr>
        <w:pStyle w:val="2"/>
        <w:keepNext/>
        <w:keepLines/>
        <w:pageBreakBefore w:val="0"/>
        <w:widowControl w:val="0"/>
        <w:numPr>
          <w:ilvl w:val="0"/>
          <w:numId w:val="1"/>
        </w:numPr>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0"/>
        <w:rPr>
          <w:rFonts w:hint="eastAsia" w:ascii="黑体" w:hAnsi="黑体" w:eastAsia="黑体" w:cs="黑体"/>
          <w:b w:val="0"/>
          <w:bCs/>
          <w:sz w:val="30"/>
          <w:szCs w:val="30"/>
          <w:lang w:val="en-US" w:eastAsia="zh-CN"/>
        </w:rPr>
      </w:pPr>
      <w:bookmarkStart w:id="11" w:name="_Toc32580"/>
      <w:r>
        <w:rPr>
          <w:rFonts w:hint="eastAsia" w:ascii="黑体" w:hAnsi="黑体" w:eastAsia="黑体" w:cs="黑体"/>
          <w:b w:val="0"/>
          <w:bCs/>
          <w:sz w:val="30"/>
          <w:szCs w:val="30"/>
          <w:lang w:val="en-US" w:eastAsia="zh-CN"/>
        </w:rPr>
        <w:t>中国港湾奖助学金</w:t>
      </w:r>
      <w:bookmarkEnd w:id="11"/>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项目号：</w:t>
      </w:r>
      <w:r>
        <w:rPr>
          <w:rFonts w:hint="eastAsia" w:ascii="仿宋" w:hAnsi="仿宋" w:eastAsia="仿宋" w:cs="仿宋"/>
          <w:b w:val="0"/>
          <w:bCs w:val="0"/>
          <w:sz w:val="28"/>
          <w:szCs w:val="28"/>
          <w:lang w:val="en-US" w:eastAsia="zh-CN"/>
        </w:rPr>
        <w:t>05010062</w:t>
      </w:r>
    </w:p>
    <w:p>
      <w:pPr>
        <w:pageBreakBefore w:val="0"/>
        <w:widowControl w:val="0"/>
        <w:numPr>
          <w:ilvl w:val="0"/>
          <w:numId w:val="0"/>
        </w:numPr>
        <w:kinsoku/>
        <w:wordWrap/>
        <w:overflowPunct/>
        <w:topLinePunct w:val="0"/>
        <w:autoSpaceDE/>
        <w:autoSpaceDN/>
        <w:bidi w:val="0"/>
        <w:adjustRightInd w:val="0"/>
        <w:snapToGrid/>
        <w:spacing w:line="560" w:lineRule="exact"/>
        <w:ind w:left="0" w:leftChars="0" w:right="0" w:rightChars="0" w:firstLine="0" w:firstLineChars="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捐赠方：</w:t>
      </w:r>
      <w:r>
        <w:rPr>
          <w:rFonts w:hint="eastAsia" w:ascii="仿宋" w:hAnsi="仿宋" w:eastAsia="仿宋" w:cs="仿宋"/>
          <w:sz w:val="28"/>
          <w:szCs w:val="28"/>
        </w:rPr>
        <w:t>中国港湾工程有限责任公司</w:t>
      </w:r>
    </w:p>
    <w:p>
      <w:pPr>
        <w:pageBreakBefore w:val="0"/>
        <w:widowControl w:val="0"/>
        <w:numPr>
          <w:ilvl w:val="0"/>
          <w:numId w:val="0"/>
        </w:numPr>
        <w:kinsoku/>
        <w:wordWrap/>
        <w:overflowPunct/>
        <w:topLinePunct w:val="0"/>
        <w:autoSpaceDE/>
        <w:autoSpaceDN/>
        <w:bidi w:val="0"/>
        <w:adjustRightInd w:val="0"/>
        <w:snapToGrid/>
        <w:spacing w:line="560" w:lineRule="exact"/>
        <w:ind w:left="0" w:leftChars="0" w:right="0" w:rightChars="0" w:firstLine="0" w:firstLineChars="0"/>
        <w:jc w:val="both"/>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评选范围：</w:t>
      </w:r>
    </w:p>
    <w:p>
      <w:pPr>
        <w:pageBreakBefore w:val="0"/>
        <w:widowControl w:val="0"/>
        <w:numPr>
          <w:ilvl w:val="0"/>
          <w:numId w:val="0"/>
        </w:numPr>
        <w:kinsoku/>
        <w:wordWrap/>
        <w:overflowPunct/>
        <w:topLinePunct w:val="0"/>
        <w:autoSpaceDE/>
        <w:autoSpaceDN/>
        <w:bidi w:val="0"/>
        <w:adjustRightInd w:val="0"/>
        <w:snapToGrid/>
        <w:spacing w:line="560" w:lineRule="exact"/>
        <w:ind w:left="0" w:leftChars="0" w:right="0" w:rightChars="0" w:firstLine="0" w:firstLineChars="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北京交通大学土木建筑工程学院本科生及硕士研究生。</w:t>
      </w:r>
    </w:p>
    <w:p>
      <w:pPr>
        <w:pageBreakBefore w:val="0"/>
        <w:widowControl w:val="0"/>
        <w:numPr>
          <w:ilvl w:val="0"/>
          <w:numId w:val="0"/>
        </w:numPr>
        <w:kinsoku/>
        <w:wordWrap/>
        <w:overflowPunct/>
        <w:topLinePunct w:val="0"/>
        <w:autoSpaceDE/>
        <w:autoSpaceDN/>
        <w:bidi w:val="0"/>
        <w:adjustRightInd w:val="0"/>
        <w:snapToGrid/>
        <w:spacing w:line="560" w:lineRule="exact"/>
        <w:ind w:left="0" w:leftChars="0" w:right="0" w:rightChars="0" w:firstLine="0" w:firstLineChars="0"/>
        <w:jc w:val="both"/>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名额及金额：</w:t>
      </w:r>
    </w:p>
    <w:p>
      <w:pPr>
        <w:adjustRightInd w:val="0"/>
        <w:snapToGrid w:val="0"/>
        <w:spacing w:line="520" w:lineRule="exact"/>
        <w:ind w:firstLine="560" w:firstLineChars="200"/>
        <w:rPr>
          <w:rFonts w:hint="eastAsia" w:ascii="仿宋_GB2312" w:hAnsi="仿宋" w:eastAsia="仿宋_GB2312"/>
          <w:sz w:val="28"/>
          <w:szCs w:val="28"/>
        </w:rPr>
      </w:pPr>
      <w:r>
        <w:rPr>
          <w:rFonts w:hint="eastAsia" w:eastAsia="仿宋_GB2312"/>
          <w:sz w:val="28"/>
          <w:szCs w:val="28"/>
        </w:rPr>
        <w:t>1. “中国港湾奖学金”：奖励土木建筑工程学院土木工程大类专业（城市轨道工程、道路与铁道工程、桥梁工程等方向）在读的二、三、四年级本科生以及土建学院在读的二、三年级硕士研究生，</w:t>
      </w:r>
      <w:r>
        <w:rPr>
          <w:rFonts w:hint="eastAsia" w:ascii="仿宋_GB2312" w:hAnsi="仿宋" w:eastAsia="仿宋_GB2312"/>
          <w:sz w:val="28"/>
          <w:szCs w:val="28"/>
        </w:rPr>
        <w:t>每学年设一等奖学金 2人</w:t>
      </w:r>
      <w:r>
        <w:rPr>
          <w:rFonts w:hint="eastAsia" w:eastAsia="仿宋_GB2312"/>
          <w:sz w:val="28"/>
          <w:szCs w:val="28"/>
        </w:rPr>
        <w:t>（本科生1人，研究生1人）</w:t>
      </w:r>
      <w:r>
        <w:rPr>
          <w:rFonts w:hint="eastAsia" w:ascii="仿宋_GB2312" w:hAnsi="仿宋" w:eastAsia="仿宋_GB2312"/>
          <w:sz w:val="28"/>
          <w:szCs w:val="28"/>
        </w:rPr>
        <w:t>，奖励金额</w:t>
      </w:r>
      <w:r>
        <w:rPr>
          <w:rFonts w:ascii="仿宋_GB2312" w:hAnsi="仿宋" w:eastAsia="仿宋_GB2312"/>
          <w:sz w:val="28"/>
          <w:szCs w:val="28"/>
        </w:rPr>
        <w:t>6</w:t>
      </w:r>
      <w:r>
        <w:rPr>
          <w:rFonts w:hint="eastAsia" w:ascii="仿宋_GB2312" w:hAnsi="仿宋" w:eastAsia="仿宋_GB2312"/>
          <w:sz w:val="28"/>
          <w:szCs w:val="28"/>
        </w:rPr>
        <w:t>000元/人；二等奖学金</w:t>
      </w:r>
      <w:r>
        <w:rPr>
          <w:rFonts w:ascii="仿宋_GB2312" w:hAnsi="仿宋" w:eastAsia="仿宋_GB2312"/>
          <w:sz w:val="28"/>
          <w:szCs w:val="28"/>
        </w:rPr>
        <w:t>6</w:t>
      </w:r>
      <w:r>
        <w:rPr>
          <w:rFonts w:hint="eastAsia" w:ascii="仿宋_GB2312" w:hAnsi="仿宋" w:eastAsia="仿宋_GB2312"/>
          <w:sz w:val="28"/>
          <w:szCs w:val="28"/>
        </w:rPr>
        <w:t>人</w:t>
      </w:r>
      <w:r>
        <w:rPr>
          <w:rFonts w:hint="eastAsia" w:eastAsia="仿宋_GB2312"/>
          <w:sz w:val="28"/>
          <w:szCs w:val="28"/>
        </w:rPr>
        <w:t>（本科生3人，研究生</w:t>
      </w:r>
      <w:r>
        <w:rPr>
          <w:rFonts w:eastAsia="仿宋_GB2312"/>
          <w:sz w:val="28"/>
          <w:szCs w:val="28"/>
        </w:rPr>
        <w:t>3</w:t>
      </w:r>
      <w:r>
        <w:rPr>
          <w:rFonts w:hint="eastAsia" w:eastAsia="仿宋_GB2312"/>
          <w:sz w:val="28"/>
          <w:szCs w:val="28"/>
        </w:rPr>
        <w:t>人）</w:t>
      </w:r>
      <w:r>
        <w:rPr>
          <w:rFonts w:hint="eastAsia" w:ascii="仿宋_GB2312" w:hAnsi="仿宋" w:eastAsia="仿宋_GB2312"/>
          <w:sz w:val="28"/>
          <w:szCs w:val="28"/>
        </w:rPr>
        <w:t xml:space="preserve">，奖励金额 </w:t>
      </w:r>
      <w:r>
        <w:rPr>
          <w:rFonts w:ascii="仿宋_GB2312" w:hAnsi="仿宋" w:eastAsia="仿宋_GB2312"/>
          <w:sz w:val="28"/>
          <w:szCs w:val="28"/>
        </w:rPr>
        <w:t>4</w:t>
      </w:r>
      <w:r>
        <w:rPr>
          <w:rFonts w:hint="eastAsia" w:ascii="仿宋_GB2312" w:hAnsi="仿宋" w:eastAsia="仿宋_GB2312"/>
          <w:sz w:val="28"/>
          <w:szCs w:val="28"/>
        </w:rPr>
        <w:t>000元/人；</w:t>
      </w:r>
    </w:p>
    <w:p>
      <w:pPr>
        <w:adjustRightInd w:val="0"/>
        <w:snapToGrid w:val="0"/>
        <w:spacing w:line="520" w:lineRule="exact"/>
        <w:ind w:firstLine="560" w:firstLineChars="200"/>
        <w:rPr>
          <w:rFonts w:hint="eastAsia" w:ascii="仿宋_GB2312" w:hAnsi="仿宋" w:eastAsia="仿宋_GB2312"/>
          <w:sz w:val="28"/>
          <w:szCs w:val="28"/>
          <w:lang w:eastAsia="zh-CN"/>
        </w:rPr>
      </w:pPr>
      <w:r>
        <w:rPr>
          <w:rFonts w:hint="eastAsia" w:eastAsia="仿宋_GB2312"/>
          <w:sz w:val="28"/>
          <w:szCs w:val="28"/>
        </w:rPr>
        <w:t>2. “中国港湾助学金”：资助土木建筑工程学院土木工程大类专业（城市轨道工程、道路与铁道工程、桥梁工程等方向）在读的二、三、四年级本科生以及土建学院在读的二、三年级硕士研究生，每学年设助学金</w:t>
      </w:r>
      <w:r>
        <w:rPr>
          <w:rFonts w:eastAsia="仿宋_GB2312"/>
          <w:sz w:val="28"/>
          <w:szCs w:val="28"/>
        </w:rPr>
        <w:t>8</w:t>
      </w:r>
      <w:r>
        <w:rPr>
          <w:rFonts w:hint="eastAsia" w:eastAsia="仿宋_GB2312"/>
          <w:sz w:val="28"/>
          <w:szCs w:val="28"/>
        </w:rPr>
        <w:t>人（本科生</w:t>
      </w:r>
      <w:r>
        <w:rPr>
          <w:rFonts w:eastAsia="仿宋_GB2312"/>
          <w:sz w:val="28"/>
          <w:szCs w:val="28"/>
        </w:rPr>
        <w:t>4</w:t>
      </w:r>
      <w:r>
        <w:rPr>
          <w:rFonts w:hint="eastAsia" w:eastAsia="仿宋_GB2312"/>
          <w:sz w:val="28"/>
          <w:szCs w:val="28"/>
        </w:rPr>
        <w:t>人，研究生</w:t>
      </w:r>
      <w:r>
        <w:rPr>
          <w:rFonts w:eastAsia="仿宋_GB2312"/>
          <w:sz w:val="28"/>
          <w:szCs w:val="28"/>
        </w:rPr>
        <w:t>4</w:t>
      </w:r>
      <w:r>
        <w:rPr>
          <w:rFonts w:hint="eastAsia" w:eastAsia="仿宋_GB2312"/>
          <w:sz w:val="28"/>
          <w:szCs w:val="28"/>
        </w:rPr>
        <w:t xml:space="preserve">人），资助金额 </w:t>
      </w:r>
      <w:r>
        <w:rPr>
          <w:rFonts w:eastAsia="仿宋_GB2312"/>
          <w:sz w:val="28"/>
          <w:szCs w:val="28"/>
        </w:rPr>
        <w:t>3</w:t>
      </w:r>
      <w:r>
        <w:rPr>
          <w:rFonts w:hint="eastAsia" w:eastAsia="仿宋_GB2312"/>
          <w:sz w:val="28"/>
          <w:szCs w:val="28"/>
        </w:rPr>
        <w:t>000元/人</w:t>
      </w:r>
      <w:r>
        <w:rPr>
          <w:rFonts w:hint="eastAsia" w:eastAsia="仿宋_GB2312"/>
          <w:sz w:val="28"/>
          <w:szCs w:val="28"/>
          <w:lang w:eastAsia="zh-CN"/>
        </w:rPr>
        <w:t>。</w:t>
      </w:r>
    </w:p>
    <w:p>
      <w:pPr>
        <w:pageBreakBefore w:val="0"/>
        <w:widowControl w:val="0"/>
        <w:numPr>
          <w:ilvl w:val="0"/>
          <w:numId w:val="0"/>
        </w:numPr>
        <w:kinsoku/>
        <w:wordWrap/>
        <w:overflowPunct/>
        <w:topLinePunct w:val="0"/>
        <w:autoSpaceDE/>
        <w:autoSpaceDN/>
        <w:bidi w:val="0"/>
        <w:adjustRightInd w:val="0"/>
        <w:snapToGrid/>
        <w:spacing w:line="560" w:lineRule="exact"/>
        <w:ind w:left="0" w:leftChars="0" w:right="0" w:rightChars="0" w:firstLine="0" w:firstLineChars="0"/>
        <w:jc w:val="both"/>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评选条件：</w:t>
      </w:r>
    </w:p>
    <w:p>
      <w:pPr>
        <w:keepNext w:val="0"/>
        <w:keepLines w:val="0"/>
        <w:pageBreakBefore w:val="0"/>
        <w:widowControl w:val="0"/>
        <w:kinsoku/>
        <w:wordWrap/>
        <w:overflowPunct/>
        <w:topLinePunct w:val="0"/>
        <w:autoSpaceDE/>
        <w:autoSpaceDN/>
        <w:bidi w:val="0"/>
        <w:adjustRightInd w:val="0"/>
        <w:snapToGrid/>
        <w:spacing w:line="560" w:lineRule="exact"/>
        <w:ind w:left="0" w:right="0" w:firstLine="562" w:firstLineChars="200"/>
        <w:textAlignment w:val="auto"/>
        <w:outlineLvl w:val="9"/>
        <w:rPr>
          <w:rFonts w:hint="eastAsia" w:ascii="仿宋" w:hAnsi="仿宋" w:eastAsia="仿宋" w:cs="仿宋"/>
          <w:b/>
          <w:bCs/>
          <w:sz w:val="28"/>
          <w:szCs w:val="28"/>
          <w:lang w:eastAsia="zh-CN"/>
        </w:rPr>
      </w:pPr>
      <w:r>
        <w:rPr>
          <w:rFonts w:hint="eastAsia" w:ascii="仿宋" w:hAnsi="仿宋" w:eastAsia="仿宋" w:cs="仿宋"/>
          <w:b/>
          <w:bCs/>
          <w:sz w:val="28"/>
          <w:szCs w:val="28"/>
        </w:rPr>
        <w:t>奖学金</w:t>
      </w:r>
      <w:r>
        <w:rPr>
          <w:rFonts w:hint="eastAsia" w:ascii="仿宋" w:hAnsi="仿宋" w:eastAsia="仿宋" w:cs="仿宋"/>
          <w:b/>
          <w:bCs/>
          <w:sz w:val="28"/>
          <w:szCs w:val="28"/>
          <w:lang w:eastAsia="zh-CN"/>
        </w:rPr>
        <w:t>：</w:t>
      </w:r>
    </w:p>
    <w:p>
      <w:pPr>
        <w:keepNext w:val="0"/>
        <w:keepLines w:val="0"/>
        <w:pageBreakBefore w:val="0"/>
        <w:widowControl w:val="0"/>
        <w:numPr>
          <w:ilvl w:val="0"/>
          <w:numId w:val="29"/>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热爱社会主义祖国，拥护中国共产党，有正确坚定的政治信念，有为建设社会主义现代化强国而奋斗的理想。</w:t>
      </w:r>
    </w:p>
    <w:p>
      <w:pPr>
        <w:keepNext w:val="0"/>
        <w:keepLines w:val="0"/>
        <w:pageBreakBefore w:val="0"/>
        <w:widowControl w:val="0"/>
        <w:numPr>
          <w:ilvl w:val="0"/>
          <w:numId w:val="29"/>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政治表现好，思想积极向上，有良好的道德修养，诚实守信，遵守国家的法律法规和学校的规章制度。</w:t>
      </w:r>
    </w:p>
    <w:p>
      <w:pPr>
        <w:keepNext w:val="0"/>
        <w:keepLines w:val="0"/>
        <w:pageBreakBefore w:val="0"/>
        <w:widowControl w:val="0"/>
        <w:numPr>
          <w:ilvl w:val="0"/>
          <w:numId w:val="29"/>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热爱所学专业，学习勤奋刻苦，学习成绩优秀，符合学校获取奖学金的有关条件。</w:t>
      </w:r>
    </w:p>
    <w:p>
      <w:pPr>
        <w:keepNext w:val="0"/>
        <w:keepLines w:val="0"/>
        <w:pageBreakBefore w:val="0"/>
        <w:widowControl w:val="0"/>
        <w:numPr>
          <w:ilvl w:val="0"/>
          <w:numId w:val="29"/>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积极参加班级和院校组织的集体活动及有益的社会工作，公益活动、志愿服务和社会工作，综合素质良好，在德、智、体方面全面发展，专业综合排名在前40%。</w:t>
      </w:r>
    </w:p>
    <w:p>
      <w:pPr>
        <w:keepNext w:val="0"/>
        <w:keepLines w:val="0"/>
        <w:pageBreakBefore w:val="0"/>
        <w:widowControl w:val="0"/>
        <w:kinsoku/>
        <w:wordWrap/>
        <w:overflowPunct/>
        <w:topLinePunct w:val="0"/>
        <w:autoSpaceDE/>
        <w:autoSpaceDN/>
        <w:bidi w:val="0"/>
        <w:adjustRightInd w:val="0"/>
        <w:snapToGrid/>
        <w:spacing w:line="560" w:lineRule="exact"/>
        <w:ind w:left="0" w:right="0" w:firstLine="562" w:firstLineChars="200"/>
        <w:textAlignment w:val="auto"/>
        <w:outlineLvl w:val="9"/>
        <w:rPr>
          <w:rFonts w:hint="eastAsia" w:ascii="仿宋" w:hAnsi="仿宋" w:eastAsia="仿宋" w:cs="仿宋"/>
          <w:b/>
          <w:bCs/>
          <w:sz w:val="28"/>
          <w:szCs w:val="28"/>
          <w:lang w:eastAsia="zh-CN"/>
        </w:rPr>
      </w:pPr>
      <w:r>
        <w:rPr>
          <w:rFonts w:hint="eastAsia" w:ascii="仿宋" w:hAnsi="仿宋" w:eastAsia="仿宋" w:cs="仿宋"/>
          <w:b/>
          <w:bCs/>
          <w:sz w:val="28"/>
          <w:szCs w:val="28"/>
        </w:rPr>
        <w:t>助学金</w:t>
      </w:r>
      <w:r>
        <w:rPr>
          <w:rFonts w:hint="eastAsia" w:ascii="仿宋" w:hAnsi="仿宋" w:eastAsia="仿宋" w:cs="仿宋"/>
          <w:b/>
          <w:bCs/>
          <w:sz w:val="28"/>
          <w:szCs w:val="28"/>
          <w:lang w:eastAsia="zh-CN"/>
        </w:rPr>
        <w:t>：</w:t>
      </w:r>
    </w:p>
    <w:p>
      <w:pPr>
        <w:keepNext w:val="0"/>
        <w:keepLines w:val="0"/>
        <w:pageBreakBefore w:val="0"/>
        <w:widowControl w:val="0"/>
        <w:numPr>
          <w:ilvl w:val="0"/>
          <w:numId w:val="30"/>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热爱社会主义祖国，拥护中国共产党，有正确坚定的政治信念，有为建设社会主义现代化强国而奋斗的理想；</w:t>
      </w:r>
    </w:p>
    <w:p>
      <w:pPr>
        <w:keepNext w:val="0"/>
        <w:keepLines w:val="0"/>
        <w:pageBreakBefore w:val="0"/>
        <w:widowControl w:val="0"/>
        <w:numPr>
          <w:ilvl w:val="0"/>
          <w:numId w:val="30"/>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政治表现好，思想积极向上，有良好的道德修养，诚实守信，遵守国家的法律法规和学校的规章制度；</w:t>
      </w:r>
    </w:p>
    <w:p>
      <w:pPr>
        <w:keepNext w:val="0"/>
        <w:keepLines w:val="0"/>
        <w:pageBreakBefore w:val="0"/>
        <w:widowControl w:val="0"/>
        <w:numPr>
          <w:ilvl w:val="0"/>
          <w:numId w:val="30"/>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家庭经济困难，生活朴素，自强不息，热爱所学专业，学习勤奋刻苦，学习成绩良好，符合学校获得专项助学金的相关条件；</w:t>
      </w:r>
    </w:p>
    <w:p>
      <w:pPr>
        <w:keepNext w:val="0"/>
        <w:keepLines w:val="0"/>
        <w:pageBreakBefore w:val="0"/>
        <w:widowControl w:val="0"/>
        <w:numPr>
          <w:ilvl w:val="0"/>
          <w:numId w:val="30"/>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积极参加班级和校院组织的集体活动、公益活动、志愿服务和社会工作，综合素质良好，在德、智、体方面全面发展。</w:t>
      </w:r>
    </w:p>
    <w:p>
      <w:pPr>
        <w:pageBreakBefore w:val="0"/>
        <w:widowControl w:val="0"/>
        <w:numPr>
          <w:ilvl w:val="0"/>
          <w:numId w:val="0"/>
        </w:numPr>
        <w:kinsoku/>
        <w:wordWrap/>
        <w:overflowPunct/>
        <w:topLinePunct w:val="0"/>
        <w:autoSpaceDE/>
        <w:autoSpaceDN/>
        <w:bidi w:val="0"/>
        <w:adjustRightInd w:val="0"/>
        <w:snapToGrid/>
        <w:spacing w:line="560" w:lineRule="exact"/>
        <w:ind w:left="0" w:leftChars="0" w:right="0" w:rightChars="0" w:firstLine="0" w:firstLineChars="0"/>
        <w:jc w:val="both"/>
        <w:textAlignment w:val="auto"/>
        <w:rPr>
          <w:rFonts w:hint="eastAsia" w:ascii="仿宋" w:hAnsi="仿宋" w:eastAsia="仿宋" w:cs="仿宋"/>
          <w:b/>
          <w:bCs/>
          <w:sz w:val="28"/>
          <w:szCs w:val="28"/>
          <w:lang w:val="en-US" w:eastAsia="zh-CN"/>
        </w:rPr>
      </w:pPr>
    </w:p>
    <w:p>
      <w:pPr>
        <w:pStyle w:val="2"/>
        <w:keepNext/>
        <w:keepLines/>
        <w:pageBreakBefore w:val="0"/>
        <w:widowControl w:val="0"/>
        <w:numPr>
          <w:ilvl w:val="0"/>
          <w:numId w:val="0"/>
        </w:numPr>
        <w:kinsoku/>
        <w:wordWrap/>
        <w:overflowPunct/>
        <w:topLinePunct w:val="0"/>
        <w:autoSpaceDE/>
        <w:autoSpaceDN/>
        <w:bidi w:val="0"/>
        <w:adjustRightInd w:val="0"/>
        <w:snapToGrid/>
        <w:spacing w:before="0" w:beforeLines="0" w:after="0" w:afterLines="0" w:line="560" w:lineRule="exact"/>
        <w:ind w:leftChars="0" w:right="0" w:rightChars="0"/>
        <w:jc w:val="both"/>
        <w:textAlignment w:val="auto"/>
        <w:outlineLvl w:val="0"/>
        <w:rPr>
          <w:rFonts w:hint="eastAsia" w:ascii="仿宋" w:hAnsi="仿宋" w:eastAsia="仿宋" w:cs="仿宋"/>
          <w:b w:val="0"/>
          <w:bCs/>
          <w:sz w:val="28"/>
          <w:szCs w:val="28"/>
          <w:lang w:val="en-US" w:eastAsia="zh-CN"/>
        </w:rPr>
      </w:pPr>
    </w:p>
    <w:p>
      <w:pPr>
        <w:pStyle w:val="2"/>
        <w:keepNext/>
        <w:keepLines/>
        <w:pageBreakBefore w:val="0"/>
        <w:widowControl w:val="0"/>
        <w:numPr>
          <w:ilvl w:val="0"/>
          <w:numId w:val="1"/>
        </w:numPr>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0"/>
        <w:rPr>
          <w:rFonts w:hint="eastAsia" w:ascii="黑体" w:hAnsi="黑体" w:eastAsia="黑体" w:cs="黑体"/>
          <w:b w:val="0"/>
          <w:bCs/>
          <w:sz w:val="30"/>
          <w:szCs w:val="30"/>
          <w:lang w:val="en-US" w:eastAsia="zh-CN"/>
        </w:rPr>
      </w:pPr>
      <w:bookmarkStart w:id="12" w:name="_Toc22466"/>
      <w:r>
        <w:rPr>
          <w:rFonts w:hint="eastAsia" w:ascii="黑体" w:hAnsi="黑体" w:eastAsia="黑体" w:cs="黑体"/>
          <w:b w:val="0"/>
          <w:bCs/>
          <w:sz w:val="30"/>
          <w:szCs w:val="30"/>
          <w:lang w:val="en-US" w:eastAsia="zh-CN"/>
        </w:rPr>
        <w:t>杨爱芬奖学金</w:t>
      </w:r>
      <w:bookmarkEnd w:id="12"/>
    </w:p>
    <w:p>
      <w:pPr>
        <w:pageBreakBefore w:val="0"/>
        <w:widowControl w:val="0"/>
        <w:numPr>
          <w:ilvl w:val="0"/>
          <w:numId w:val="0"/>
        </w:numPr>
        <w:kinsoku/>
        <w:wordWrap/>
        <w:overflowPunct/>
        <w:topLinePunct w:val="0"/>
        <w:autoSpaceDE/>
        <w:autoSpaceDN/>
        <w:bidi w:val="0"/>
        <w:adjustRightInd w:val="0"/>
        <w:snapToGrid/>
        <w:spacing w:line="560" w:lineRule="exact"/>
        <w:ind w:left="0" w:leftChars="0" w:right="0" w:rightChars="0" w:firstLine="0" w:firstLineChars="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项目号：</w:t>
      </w:r>
      <w:r>
        <w:rPr>
          <w:rFonts w:hint="eastAsia" w:ascii="仿宋" w:hAnsi="仿宋" w:eastAsia="仿宋" w:cs="仿宋"/>
          <w:b w:val="0"/>
          <w:bCs w:val="0"/>
          <w:sz w:val="28"/>
          <w:szCs w:val="28"/>
          <w:lang w:val="en-US" w:eastAsia="zh-CN"/>
        </w:rPr>
        <w:t>03010065</w:t>
      </w:r>
    </w:p>
    <w:p>
      <w:pPr>
        <w:pageBreakBefore w:val="0"/>
        <w:widowControl w:val="0"/>
        <w:kinsoku/>
        <w:wordWrap/>
        <w:overflowPunct/>
        <w:topLinePunct w:val="0"/>
        <w:autoSpaceDE/>
        <w:autoSpaceDN/>
        <w:bidi w:val="0"/>
        <w:adjustRightInd w:val="0"/>
        <w:snapToGrid/>
        <w:spacing w:line="560" w:lineRule="exact"/>
        <w:ind w:left="0" w:right="0" w:firstLine="0"/>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捐赠方：</w:t>
      </w:r>
      <w:r>
        <w:rPr>
          <w:rFonts w:hint="eastAsia" w:ascii="仿宋" w:hAnsi="仿宋" w:eastAsia="仿宋" w:cs="仿宋"/>
          <w:color w:val="2E3231"/>
          <w:sz w:val="28"/>
          <w:szCs w:val="28"/>
          <w:highlight w:val="white"/>
        </w:rPr>
        <w:t>北京中立鸿会计师事务所有限责任公司</w:t>
      </w:r>
    </w:p>
    <w:p>
      <w:pPr>
        <w:pageBreakBefore w:val="0"/>
        <w:widowControl w:val="0"/>
        <w:numPr>
          <w:ilvl w:val="0"/>
          <w:numId w:val="0"/>
        </w:numPr>
        <w:kinsoku/>
        <w:wordWrap/>
        <w:overflowPunct/>
        <w:topLinePunct w:val="0"/>
        <w:autoSpaceDE/>
        <w:autoSpaceDN/>
        <w:bidi w:val="0"/>
        <w:adjustRightInd w:val="0"/>
        <w:snapToGrid/>
        <w:spacing w:line="560" w:lineRule="exact"/>
        <w:ind w:left="0" w:leftChars="0" w:right="0" w:rightChars="0" w:firstLine="0" w:firstLineChars="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评选范围：</w:t>
      </w:r>
      <w:r>
        <w:rPr>
          <w:rFonts w:hint="eastAsia" w:ascii="仿宋" w:hAnsi="仿宋" w:eastAsia="仿宋" w:cs="仿宋"/>
          <w:b w:val="0"/>
          <w:bCs w:val="0"/>
          <w:sz w:val="28"/>
          <w:szCs w:val="28"/>
          <w:lang w:val="en-US" w:eastAsia="zh-CN"/>
        </w:rPr>
        <w:t>北京交通大学经济管理学院学院优秀的研究生和本科生（不含委培生和定向生）</w:t>
      </w:r>
    </w:p>
    <w:p>
      <w:pPr>
        <w:pageBreakBefore w:val="0"/>
        <w:widowControl w:val="0"/>
        <w:numPr>
          <w:ilvl w:val="0"/>
          <w:numId w:val="0"/>
        </w:numPr>
        <w:kinsoku/>
        <w:wordWrap/>
        <w:overflowPunct/>
        <w:topLinePunct w:val="0"/>
        <w:autoSpaceDE/>
        <w:autoSpaceDN/>
        <w:bidi w:val="0"/>
        <w:adjustRightInd w:val="0"/>
        <w:snapToGrid/>
        <w:spacing w:line="560" w:lineRule="exact"/>
        <w:ind w:left="0" w:leftChars="0" w:right="0" w:rightChars="0" w:firstLine="0" w:firstLineChars="0"/>
        <w:jc w:val="both"/>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名额及金额：</w:t>
      </w:r>
      <w:r>
        <w:rPr>
          <w:rFonts w:hint="eastAsia" w:ascii="仿宋" w:hAnsi="仿宋" w:eastAsia="仿宋" w:cs="仿宋"/>
          <w:b w:val="0"/>
          <w:bCs w:val="0"/>
          <w:sz w:val="28"/>
          <w:szCs w:val="28"/>
          <w:lang w:val="en-US" w:eastAsia="zh-CN"/>
        </w:rPr>
        <w:t>共5人，其中2名本科生，5000</w:t>
      </w:r>
      <w:r>
        <w:rPr>
          <w:rFonts w:hint="eastAsia" w:ascii="仿宋" w:hAnsi="仿宋" w:eastAsia="仿宋" w:cs="仿宋"/>
          <w:sz w:val="28"/>
          <w:szCs w:val="28"/>
          <w:lang w:val="en-US" w:eastAsia="zh-CN"/>
        </w:rPr>
        <w:t>元/人˙年，2名硕士生，10000元/人˙年，1名博士，20000元/人˙年</w:t>
      </w:r>
    </w:p>
    <w:p>
      <w:pPr>
        <w:pageBreakBefore w:val="0"/>
        <w:widowControl w:val="0"/>
        <w:numPr>
          <w:ilvl w:val="0"/>
          <w:numId w:val="0"/>
        </w:numPr>
        <w:kinsoku/>
        <w:wordWrap/>
        <w:overflowPunct/>
        <w:topLinePunct w:val="0"/>
        <w:autoSpaceDE/>
        <w:autoSpaceDN/>
        <w:bidi w:val="0"/>
        <w:adjustRightInd w:val="0"/>
        <w:snapToGrid/>
        <w:spacing w:line="560" w:lineRule="exact"/>
        <w:ind w:left="0" w:leftChars="0" w:right="0" w:rightChars="0" w:firstLine="0" w:firstLineChars="0"/>
        <w:jc w:val="both"/>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评选条件：</w:t>
      </w:r>
    </w:p>
    <w:p>
      <w:pPr>
        <w:pageBreakBefore w:val="0"/>
        <w:widowControl w:val="0"/>
        <w:kinsoku/>
        <w:wordWrap/>
        <w:overflowPunct/>
        <w:topLinePunct w:val="0"/>
        <w:autoSpaceDE/>
        <w:autoSpaceDN/>
        <w:bidi w:val="0"/>
        <w:adjustRightInd w:val="0"/>
        <w:snapToGrid/>
        <w:spacing w:line="560" w:lineRule="exact"/>
        <w:ind w:left="0" w:right="0"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博士研究生:</w:t>
      </w:r>
    </w:p>
    <w:p>
      <w:pPr>
        <w:keepNext w:val="0"/>
        <w:keepLines w:val="0"/>
        <w:pageBreakBefore w:val="0"/>
        <w:widowControl w:val="0"/>
        <w:numPr>
          <w:ilvl w:val="0"/>
          <w:numId w:val="31"/>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color w:val="000000" w:themeColor="text1"/>
          <w:sz w:val="28"/>
          <w:szCs w:val="28"/>
          <w:highlight w:val="none"/>
          <w:lang w:val="en-US" w:eastAsia="zh-CN"/>
          <w14:textFill>
            <w14:solidFill>
              <w14:schemeClr w14:val="tx1"/>
            </w14:solidFill>
          </w14:textFill>
        </w:rPr>
        <w:t>模范遵守</w:t>
      </w:r>
      <w:r>
        <w:rPr>
          <w:rFonts w:hint="eastAsia" w:ascii="仿宋" w:hAnsi="仿宋" w:eastAsia="仿宋" w:cs="仿宋"/>
          <w:sz w:val="28"/>
          <w:szCs w:val="28"/>
          <w:lang w:val="en-US" w:eastAsia="zh-CN"/>
        </w:rPr>
        <w:t>国家法律法规和学校的各项规章制度,品行端正,具有良好的合作精神和社会责任感,身心健康;积极参加学校、学院组织的各项活动,并在活动中有良好表现；</w:t>
      </w:r>
    </w:p>
    <w:p>
      <w:pPr>
        <w:keepNext w:val="0"/>
        <w:keepLines w:val="0"/>
        <w:pageBreakBefore w:val="0"/>
        <w:widowControl w:val="0"/>
        <w:numPr>
          <w:ilvl w:val="0"/>
          <w:numId w:val="31"/>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掌握坚实的基础理论和专业知识,学业成绩优秀,在校期间历年综合测评成绩优秀;严格連守学术道德,有较强的科学创新意识和高水平成果,在规定的学制年限内发表«北京交通大学论文分类办法»(试行)要求的 A类论文至少1篇,如遇多个符合条件者则择优进行排序;或在学校认可的重大活动中为学校赢得荣誉或做出突出贡献。</w:t>
      </w:r>
    </w:p>
    <w:p>
      <w:pPr>
        <w:pageBreakBefore w:val="0"/>
        <w:widowControl w:val="0"/>
        <w:kinsoku/>
        <w:wordWrap/>
        <w:overflowPunct/>
        <w:topLinePunct w:val="0"/>
        <w:autoSpaceDE/>
        <w:autoSpaceDN/>
        <w:bidi w:val="0"/>
        <w:adjustRightInd w:val="0"/>
        <w:snapToGrid/>
        <w:spacing w:line="560" w:lineRule="exact"/>
        <w:ind w:left="0" w:right="0"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lang w:val="en-US" w:eastAsia="zh-CN"/>
        </w:rPr>
        <w:t>硕士</w:t>
      </w:r>
      <w:r>
        <w:rPr>
          <w:rFonts w:hint="eastAsia" w:ascii="仿宋" w:hAnsi="仿宋" w:eastAsia="仿宋" w:cs="仿宋"/>
          <w:b/>
          <w:bCs/>
          <w:sz w:val="28"/>
          <w:szCs w:val="28"/>
        </w:rPr>
        <w:t>研究生:</w:t>
      </w:r>
    </w:p>
    <w:p>
      <w:pPr>
        <w:keepNext w:val="0"/>
        <w:keepLines w:val="0"/>
        <w:pageBreakBefore w:val="0"/>
        <w:widowControl w:val="0"/>
        <w:numPr>
          <w:ilvl w:val="0"/>
          <w:numId w:val="32"/>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模范遵守国家法律法规和学校的各项规章制度,品行端正,具有良好的合作精神和社会责任感,身心健康;积极参加学校、学院组织的各项活动,并在活动中有良好表现；</w:t>
      </w:r>
    </w:p>
    <w:p>
      <w:pPr>
        <w:keepNext w:val="0"/>
        <w:keepLines w:val="0"/>
        <w:pageBreakBefore w:val="0"/>
        <w:widowControl w:val="0"/>
        <w:numPr>
          <w:ilvl w:val="0"/>
          <w:numId w:val="32"/>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掌握坚实的基础理论和专业知识,学业成绩优秀,在校期间历年综合测评成绩优秀;严格連守学术道德,有较强的科学创新意识和高水平成果。在规定的学制年限内发表«北京交通大学论文分类办法»(试行)要求的 B类论文2篇以上,如有 A类文章发表则可优先排序, 如遇多个符合条件者则择优进行排序; 或在学校认可的重大活动中为学校赢得荣誉或做出突出贡献。</w:t>
      </w:r>
    </w:p>
    <w:p>
      <w:pPr>
        <w:pageBreakBefore w:val="0"/>
        <w:widowControl w:val="0"/>
        <w:kinsoku/>
        <w:wordWrap/>
        <w:overflowPunct/>
        <w:topLinePunct w:val="0"/>
        <w:autoSpaceDE/>
        <w:autoSpaceDN/>
        <w:bidi w:val="0"/>
        <w:adjustRightInd w:val="0"/>
        <w:snapToGrid/>
        <w:spacing w:line="560" w:lineRule="exact"/>
        <w:ind w:left="0" w:right="0"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本科生:</w:t>
      </w:r>
    </w:p>
    <w:p>
      <w:pPr>
        <w:keepNext w:val="0"/>
        <w:keepLines w:val="0"/>
        <w:pageBreakBefore w:val="0"/>
        <w:widowControl w:val="0"/>
        <w:numPr>
          <w:ilvl w:val="0"/>
          <w:numId w:val="33"/>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具有坚定正确的政治方向,热爱社会主义祖国,立志为建设社会主义现代化强国而奋斗, 思想作风表现好;</w:t>
      </w:r>
    </w:p>
    <w:p>
      <w:pPr>
        <w:keepNext w:val="0"/>
        <w:keepLines w:val="0"/>
        <w:pageBreakBefore w:val="0"/>
        <w:widowControl w:val="0"/>
        <w:numPr>
          <w:ilvl w:val="0"/>
          <w:numId w:val="33"/>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有良好的道德修养,模范連守法规、校规和社会主义公德,在本校学凤、校风建设和精神文明建设中起到骨干带头作用;</w:t>
      </w:r>
    </w:p>
    <w:p>
      <w:pPr>
        <w:keepNext w:val="0"/>
        <w:keepLines w:val="0"/>
        <w:pageBreakBefore w:val="0"/>
        <w:widowControl w:val="0"/>
        <w:numPr>
          <w:ilvl w:val="0"/>
          <w:numId w:val="33"/>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积极参加体育锻炼, 有良好的生活习惯和健康的体魄;</w:t>
      </w:r>
    </w:p>
    <w:p>
      <w:pPr>
        <w:keepNext w:val="0"/>
        <w:keepLines w:val="0"/>
        <w:pageBreakBefore w:val="0"/>
        <w:widowControl w:val="0"/>
        <w:numPr>
          <w:ilvl w:val="0"/>
          <w:numId w:val="33"/>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学习勤奋、刻苦,成绩优异,学习成绩专业排名前30%;</w:t>
      </w:r>
    </w:p>
    <w:p>
      <w:pPr>
        <w:keepNext w:val="0"/>
        <w:keepLines w:val="0"/>
        <w:pageBreakBefore w:val="0"/>
        <w:widowControl w:val="0"/>
        <w:numPr>
          <w:ilvl w:val="0"/>
          <w:numId w:val="33"/>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思想行为测评成绩专业排率前5o%,且在社会实践、创</w:t>
      </w:r>
      <w:r>
        <w:rPr>
          <w:rFonts w:hint="eastAsia" w:ascii="仿宋" w:hAnsi="仿宋" w:eastAsia="仿宋" w:cs="仿宋"/>
          <w:sz w:val="28"/>
          <w:szCs w:val="28"/>
        </w:rPr>
        <w:t>新能力、综合素质等方面特别突出。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28"/>
          <w:szCs w:val="28"/>
        </w:rPr>
      </w:pPr>
    </w:p>
    <w:p>
      <w:pPr>
        <w:pStyle w:val="2"/>
        <w:keepNext/>
        <w:keepLines/>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Chars="0" w:right="0" w:rightChars="0"/>
        <w:jc w:val="both"/>
        <w:textAlignment w:val="auto"/>
        <w:outlineLvl w:val="0"/>
        <w:rPr>
          <w:rFonts w:hint="eastAsia" w:ascii="仿宋" w:hAnsi="仿宋" w:eastAsia="仿宋" w:cs="仿宋"/>
          <w:b w:val="0"/>
          <w:bCs/>
          <w:sz w:val="30"/>
          <w:szCs w:val="30"/>
          <w:lang w:val="en-US" w:eastAsia="zh-CN"/>
        </w:rPr>
      </w:pPr>
    </w:p>
    <w:p>
      <w:pPr>
        <w:pStyle w:val="2"/>
        <w:keepNext/>
        <w:keepLines/>
        <w:pageBreakBefore w:val="0"/>
        <w:widowControl w:val="0"/>
        <w:numPr>
          <w:ilvl w:val="0"/>
          <w:numId w:val="1"/>
        </w:numPr>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0"/>
        <w:rPr>
          <w:rFonts w:hint="eastAsia" w:ascii="黑体" w:hAnsi="黑体" w:eastAsia="黑体" w:cs="黑体"/>
          <w:b w:val="0"/>
          <w:bCs/>
          <w:sz w:val="30"/>
          <w:szCs w:val="30"/>
          <w:lang w:val="en-US" w:eastAsia="zh-CN"/>
        </w:rPr>
      </w:pPr>
      <w:bookmarkStart w:id="13" w:name="_Toc5418"/>
      <w:r>
        <w:rPr>
          <w:rFonts w:hint="eastAsia" w:ascii="黑体" w:hAnsi="黑体" w:eastAsia="黑体" w:cs="黑体"/>
          <w:b w:val="0"/>
          <w:bCs/>
          <w:sz w:val="30"/>
          <w:szCs w:val="30"/>
          <w:lang w:val="en-US" w:eastAsia="zh-CN"/>
        </w:rPr>
        <w:t>丸和运输机关留学、助学金</w:t>
      </w:r>
      <w:bookmarkEnd w:id="13"/>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项目号：</w:t>
      </w:r>
      <w:r>
        <w:rPr>
          <w:rFonts w:hint="eastAsia" w:ascii="仿宋" w:hAnsi="仿宋" w:eastAsia="仿宋" w:cs="仿宋"/>
          <w:b w:val="0"/>
          <w:bCs w:val="0"/>
          <w:sz w:val="28"/>
          <w:szCs w:val="28"/>
          <w:lang w:val="en-US" w:eastAsia="zh-CN"/>
        </w:rPr>
        <w:t>03010067</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捐赠方：</w:t>
      </w:r>
      <w:r>
        <w:rPr>
          <w:rFonts w:hint="eastAsia" w:ascii="仿宋" w:hAnsi="仿宋" w:eastAsia="仿宋" w:cs="仿宋"/>
          <w:sz w:val="28"/>
          <w:szCs w:val="28"/>
        </w:rPr>
        <w:t>株式会社丸和运输机关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评选范围：</w:t>
      </w:r>
      <w:r>
        <w:rPr>
          <w:rFonts w:hint="eastAsia" w:ascii="仿宋" w:hAnsi="仿宋" w:eastAsia="仿宋" w:cs="仿宋"/>
          <w:sz w:val="28"/>
          <w:szCs w:val="28"/>
        </w:rPr>
        <w:t>北京交通大学经济管理学院赴日本留学的优秀本科生</w:t>
      </w:r>
      <w:r>
        <w:rPr>
          <w:rFonts w:hint="eastAsia" w:ascii="仿宋" w:hAnsi="仿宋" w:eastAsia="仿宋" w:cs="仿宋"/>
          <w:sz w:val="28"/>
          <w:szCs w:val="28"/>
          <w:lang w:val="en-US" w:eastAsia="zh-CN"/>
        </w:rPr>
        <w:t>和硕士研究生、</w:t>
      </w:r>
      <w:r>
        <w:rPr>
          <w:rFonts w:hint="eastAsia" w:ascii="仿宋" w:hAnsi="仿宋" w:eastAsia="仿宋" w:cs="仿宋"/>
          <w:sz w:val="28"/>
          <w:szCs w:val="28"/>
        </w:rPr>
        <w:t>家庭经济困难的优秀学生</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名额及金额：</w:t>
      </w:r>
      <w:r>
        <w:rPr>
          <w:rFonts w:hint="eastAsia" w:ascii="仿宋" w:hAnsi="仿宋" w:eastAsia="仿宋" w:cs="仿宋"/>
          <w:sz w:val="28"/>
          <w:szCs w:val="28"/>
        </w:rPr>
        <w:t>评选20名学生，</w:t>
      </w:r>
      <w:r>
        <w:rPr>
          <w:rFonts w:hint="eastAsia" w:ascii="仿宋" w:hAnsi="仿宋" w:eastAsia="仿宋" w:cs="仿宋"/>
          <w:sz w:val="28"/>
          <w:szCs w:val="28"/>
          <w:lang w:val="en-US" w:eastAsia="zh-CN"/>
        </w:rPr>
        <w:t>其中15名本科生，5名研究生，</w:t>
      </w:r>
      <w:r>
        <w:rPr>
          <w:rFonts w:hint="eastAsia" w:ascii="仿宋" w:hAnsi="仿宋" w:eastAsia="仿宋" w:cs="仿宋"/>
          <w:sz w:val="28"/>
          <w:szCs w:val="28"/>
        </w:rPr>
        <w:t>资助3000元</w:t>
      </w:r>
      <w:r>
        <w:rPr>
          <w:rFonts w:hint="eastAsia" w:ascii="仿宋" w:hAnsi="仿宋" w:eastAsia="仿宋" w:cs="仿宋"/>
          <w:sz w:val="28"/>
          <w:szCs w:val="28"/>
          <w:lang w:val="en-US" w:eastAsia="zh-CN"/>
        </w:rPr>
        <w:t>/人˙年</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28"/>
          <w:szCs w:val="28"/>
          <w:lang w:val="en-US" w:eastAsia="zh-CN"/>
        </w:rPr>
      </w:pPr>
    </w:p>
    <w:p>
      <w:pPr>
        <w:spacing w:line="560" w:lineRule="exact"/>
        <w:ind w:firstLine="560"/>
        <w:rPr>
          <w:rFonts w:hint="eastAsia" w:ascii="仿宋" w:hAnsi="仿宋" w:eastAsia="仿宋"/>
          <w:szCs w:val="28"/>
        </w:rPr>
      </w:pPr>
    </w:p>
    <w:p>
      <w:pPr>
        <w:pStyle w:val="2"/>
        <w:keepNext/>
        <w:keepLines/>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Chars="0" w:right="0" w:rightChars="0"/>
        <w:jc w:val="both"/>
        <w:textAlignment w:val="auto"/>
        <w:outlineLvl w:val="0"/>
        <w:rPr>
          <w:rFonts w:hint="eastAsia" w:ascii="仿宋" w:hAnsi="仿宋" w:eastAsia="仿宋" w:cs="仿宋"/>
          <w:b w:val="0"/>
          <w:bCs/>
          <w:sz w:val="30"/>
          <w:szCs w:val="30"/>
          <w:lang w:val="en-US" w:eastAsia="zh-CN"/>
        </w:rPr>
      </w:pPr>
    </w:p>
    <w:p>
      <w:pPr>
        <w:pStyle w:val="2"/>
        <w:keepNext/>
        <w:keepLines/>
        <w:pageBreakBefore w:val="0"/>
        <w:widowControl w:val="0"/>
        <w:numPr>
          <w:ilvl w:val="0"/>
          <w:numId w:val="1"/>
        </w:numPr>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0"/>
        <w:rPr>
          <w:rFonts w:hint="eastAsia" w:ascii="黑体" w:hAnsi="黑体" w:eastAsia="黑体" w:cs="黑体"/>
          <w:b w:val="0"/>
          <w:bCs/>
          <w:sz w:val="30"/>
          <w:szCs w:val="30"/>
          <w:lang w:val="en-US" w:eastAsia="zh-CN"/>
        </w:rPr>
      </w:pPr>
      <w:bookmarkStart w:id="14" w:name="_Toc14903"/>
      <w:r>
        <w:rPr>
          <w:rFonts w:hint="eastAsia" w:ascii="黑体" w:hAnsi="黑体" w:eastAsia="黑体" w:cs="黑体"/>
          <w:b w:val="0"/>
          <w:bCs/>
          <w:sz w:val="30"/>
          <w:szCs w:val="30"/>
          <w:lang w:val="en-US" w:eastAsia="zh-CN"/>
        </w:rPr>
        <w:t>茅以升奖学金</w:t>
      </w:r>
      <w:bookmarkEnd w:id="14"/>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项目号：</w:t>
      </w:r>
      <w:r>
        <w:rPr>
          <w:rFonts w:hint="eastAsia" w:ascii="仿宋" w:hAnsi="仿宋" w:eastAsia="仿宋" w:cs="仿宋"/>
          <w:b w:val="0"/>
          <w:bCs w:val="0"/>
          <w:sz w:val="28"/>
          <w:szCs w:val="28"/>
          <w:lang w:val="en-US" w:eastAsia="zh-CN"/>
        </w:rPr>
        <w:t>14010075</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b w:val="0"/>
          <w:bCs w:val="0"/>
          <w:sz w:val="28"/>
          <w:szCs w:val="28"/>
          <w:u w:val="none"/>
          <w:lang w:val="en-US" w:eastAsia="zh-CN"/>
        </w:rPr>
      </w:pPr>
      <w:r>
        <w:rPr>
          <w:rFonts w:hint="eastAsia" w:ascii="仿宋" w:hAnsi="仿宋" w:eastAsia="仿宋" w:cs="仿宋"/>
          <w:b/>
          <w:bCs/>
          <w:sz w:val="28"/>
          <w:szCs w:val="28"/>
          <w:lang w:val="en-US" w:eastAsia="zh-CN"/>
        </w:rPr>
        <w:t>捐赠方：</w:t>
      </w:r>
      <w:r>
        <w:rPr>
          <w:rFonts w:hint="eastAsia" w:ascii="仿宋" w:hAnsi="仿宋" w:eastAsia="仿宋" w:cs="仿宋"/>
          <w:sz w:val="28"/>
          <w:szCs w:val="28"/>
          <w:u w:val="none"/>
        </w:rPr>
        <w:t>茅以升科技教育基金会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28"/>
          <w:szCs w:val="28"/>
          <w:lang w:eastAsia="zh-CN"/>
        </w:rPr>
      </w:pPr>
      <w:r>
        <w:rPr>
          <w:rFonts w:hint="eastAsia" w:ascii="仿宋" w:hAnsi="仿宋" w:eastAsia="仿宋" w:cs="仿宋"/>
          <w:b/>
          <w:bCs/>
          <w:sz w:val="28"/>
          <w:szCs w:val="28"/>
          <w:lang w:val="en-US" w:eastAsia="zh-CN"/>
        </w:rPr>
        <w:t>评选范围：</w:t>
      </w:r>
      <w:r>
        <w:rPr>
          <w:rFonts w:hint="eastAsia" w:ascii="仿宋" w:hAnsi="仿宋" w:eastAsia="仿宋" w:cs="仿宋"/>
          <w:sz w:val="28"/>
          <w:szCs w:val="28"/>
        </w:rPr>
        <w:t>北京交通大学</w:t>
      </w:r>
      <w:r>
        <w:rPr>
          <w:rFonts w:hint="eastAsia" w:ascii="仿宋" w:hAnsi="仿宋" w:eastAsia="仿宋" w:cs="仿宋"/>
          <w:sz w:val="28"/>
          <w:szCs w:val="28"/>
          <w:lang w:eastAsia="zh-CN"/>
        </w:rPr>
        <w:t>全日制本科生</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名额及金额：</w:t>
      </w:r>
      <w:r>
        <w:rPr>
          <w:rFonts w:hint="eastAsia" w:ascii="仿宋" w:hAnsi="仿宋" w:eastAsia="仿宋" w:cs="仿宋"/>
          <w:sz w:val="28"/>
          <w:szCs w:val="28"/>
          <w:lang w:val="en-US" w:eastAsia="zh-CN"/>
        </w:rPr>
        <w:t>每年评选出3名本科生获得铁学奖，3000元、元/人˙年，1名工学奖，5000元/人˙年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outlineLvl w:val="9"/>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评选条件：</w:t>
      </w:r>
    </w:p>
    <w:p>
      <w:pPr>
        <w:keepNext w:val="0"/>
        <w:keepLines w:val="0"/>
        <w:pageBreakBefore w:val="0"/>
        <w:widowControl w:val="0"/>
        <w:numPr>
          <w:ilvl w:val="0"/>
          <w:numId w:val="34"/>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热爱祖国，拥护中国共产党，立志为将我国建设成社会主义现代化国家而奋斗；</w:t>
      </w:r>
    </w:p>
    <w:p>
      <w:pPr>
        <w:keepNext w:val="0"/>
        <w:keepLines w:val="0"/>
        <w:pageBreakBefore w:val="0"/>
        <w:widowControl w:val="0"/>
        <w:numPr>
          <w:ilvl w:val="0"/>
          <w:numId w:val="34"/>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有良好的思想作风和社会主义道德修养，品行端正，在校风、校纪建设方面起骨干带头作用，在同学中有良好的人际关系，在同学中有较高的威信；</w:t>
      </w:r>
    </w:p>
    <w:p>
      <w:pPr>
        <w:keepNext w:val="0"/>
        <w:keepLines w:val="0"/>
        <w:pageBreakBefore w:val="0"/>
        <w:widowControl w:val="0"/>
        <w:numPr>
          <w:ilvl w:val="0"/>
          <w:numId w:val="34"/>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学习勤奋、刻苦，成绩优异;或在某一学科有突出表现和深入研究。思想敏锐，有较强的科技创新精神，或某一方面已取得突出成果；</w:t>
      </w:r>
    </w:p>
    <w:p>
      <w:pPr>
        <w:keepNext w:val="0"/>
        <w:keepLines w:val="0"/>
        <w:pageBreakBefore w:val="0"/>
        <w:widowControl w:val="0"/>
        <w:numPr>
          <w:ilvl w:val="0"/>
          <w:numId w:val="34"/>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注意积极培养自己良好的心理素质、健全的人格和健康的体魄。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rPr>
          <w:rFonts w:hint="eastAsia" w:ascii="仿宋" w:hAnsi="仿宋" w:eastAsia="仿宋" w:cs="仿宋"/>
          <w:b/>
          <w:bCs/>
          <w:kern w:val="0"/>
          <w:sz w:val="30"/>
          <w:szCs w:val="30"/>
        </w:rPr>
      </w:pPr>
    </w:p>
    <w:p>
      <w:pPr>
        <w:pStyle w:val="2"/>
        <w:keepNext/>
        <w:keepLines/>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Chars="0" w:right="0" w:rightChars="0"/>
        <w:jc w:val="both"/>
        <w:textAlignment w:val="auto"/>
        <w:outlineLvl w:val="0"/>
        <w:rPr>
          <w:rFonts w:hint="eastAsia" w:ascii="仿宋" w:hAnsi="仿宋" w:eastAsia="仿宋" w:cs="仿宋"/>
          <w:b w:val="0"/>
          <w:bCs/>
          <w:sz w:val="30"/>
          <w:szCs w:val="30"/>
          <w:lang w:val="en-US" w:eastAsia="zh-CN"/>
        </w:rPr>
      </w:pPr>
    </w:p>
    <w:p>
      <w:pPr>
        <w:pStyle w:val="2"/>
        <w:keepNext/>
        <w:keepLines/>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Chars="0" w:right="0" w:rightChars="0"/>
        <w:jc w:val="both"/>
        <w:textAlignment w:val="auto"/>
        <w:outlineLvl w:val="0"/>
        <w:rPr>
          <w:rFonts w:hint="eastAsia" w:ascii="仿宋" w:hAnsi="仿宋" w:eastAsia="仿宋" w:cs="仿宋"/>
          <w:b w:val="0"/>
          <w:bCs/>
          <w:sz w:val="30"/>
          <w:szCs w:val="30"/>
          <w:lang w:val="en-US" w:eastAsia="zh-CN"/>
        </w:rPr>
      </w:pPr>
    </w:p>
    <w:p>
      <w:pPr>
        <w:pStyle w:val="2"/>
        <w:keepNext/>
        <w:keepLines/>
        <w:pageBreakBefore w:val="0"/>
        <w:widowControl w:val="0"/>
        <w:numPr>
          <w:ilvl w:val="0"/>
          <w:numId w:val="1"/>
        </w:numPr>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0"/>
        <w:rPr>
          <w:rFonts w:hint="eastAsia" w:ascii="黑体" w:hAnsi="黑体" w:eastAsia="黑体" w:cs="黑体"/>
          <w:b w:val="0"/>
          <w:bCs/>
          <w:sz w:val="30"/>
          <w:szCs w:val="30"/>
          <w:lang w:val="en-US" w:eastAsia="zh-CN"/>
        </w:rPr>
      </w:pPr>
      <w:bookmarkStart w:id="15" w:name="_Toc23923"/>
      <w:r>
        <w:rPr>
          <w:rFonts w:hint="eastAsia" w:ascii="黑体" w:hAnsi="黑体" w:eastAsia="黑体" w:cs="黑体"/>
          <w:b w:val="0"/>
          <w:bCs/>
          <w:sz w:val="30"/>
          <w:szCs w:val="30"/>
          <w:lang w:val="en-US" w:eastAsia="zh-CN"/>
        </w:rPr>
        <w:t>计算机与信息技术学院人才培养基金</w:t>
      </w:r>
      <w:bookmarkEnd w:id="15"/>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项目号：</w:t>
      </w:r>
      <w:r>
        <w:rPr>
          <w:rFonts w:hint="eastAsia" w:ascii="仿宋" w:hAnsi="仿宋" w:eastAsia="仿宋" w:cs="仿宋"/>
          <w:b w:val="0"/>
          <w:bCs w:val="0"/>
          <w:sz w:val="28"/>
          <w:szCs w:val="28"/>
          <w:lang w:val="en-US" w:eastAsia="zh-CN"/>
        </w:rPr>
        <w:t>02010079</w:t>
      </w:r>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捐赠方：</w:t>
      </w:r>
      <w:r>
        <w:rPr>
          <w:rFonts w:hint="eastAsia" w:ascii="仿宋" w:hAnsi="仿宋" w:eastAsia="仿宋" w:cs="仿宋"/>
          <w:sz w:val="28"/>
          <w:szCs w:val="28"/>
        </w:rPr>
        <w:t>阮秋琦</w:t>
      </w:r>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评选范围：</w:t>
      </w:r>
      <w:r>
        <w:rPr>
          <w:rFonts w:hint="eastAsia" w:ascii="仿宋" w:hAnsi="仿宋" w:eastAsia="仿宋" w:cs="仿宋"/>
          <w:sz w:val="28"/>
          <w:szCs w:val="28"/>
          <w:lang w:val="en-US" w:eastAsia="zh-CN"/>
        </w:rPr>
        <w:t>北京交通大学</w:t>
      </w:r>
      <w:r>
        <w:rPr>
          <w:rFonts w:hint="eastAsia" w:ascii="仿宋" w:hAnsi="仿宋" w:eastAsia="仿宋" w:cs="仿宋"/>
          <w:sz w:val="28"/>
          <w:szCs w:val="28"/>
        </w:rPr>
        <w:t>计算机学院在读优秀硕士、博士研究生</w:t>
      </w:r>
      <w:r>
        <w:rPr>
          <w:rFonts w:hint="eastAsia" w:ascii="仿宋" w:hAnsi="仿宋" w:eastAsia="仿宋" w:cs="仿宋"/>
          <w:sz w:val="28"/>
          <w:szCs w:val="28"/>
          <w:lang w:eastAsia="zh-CN"/>
        </w:rPr>
        <w:t>（不含委培和定向类）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28"/>
          <w:szCs w:val="28"/>
          <w:lang w:val="en-US" w:eastAsia="zh-CN"/>
        </w:rPr>
      </w:pPr>
      <w:r>
        <w:rPr>
          <w:rFonts w:hint="eastAsia" w:ascii="仿宋" w:hAnsi="仿宋" w:eastAsia="仿宋" w:cs="仿宋"/>
          <w:b/>
          <w:bCs/>
          <w:sz w:val="28"/>
          <w:szCs w:val="28"/>
          <w:lang w:eastAsia="zh-CN"/>
        </w:rPr>
        <w:t>名额及金额：</w:t>
      </w:r>
      <w:r>
        <w:rPr>
          <w:rFonts w:hint="eastAsia" w:ascii="仿宋" w:hAnsi="仿宋" w:eastAsia="仿宋" w:cs="仿宋"/>
          <w:sz w:val="28"/>
          <w:szCs w:val="28"/>
          <w:lang w:val="en-US" w:eastAsia="zh-CN"/>
        </w:rPr>
        <w:t>共5名，硕士、博士全日制研究生，3000元/人·年</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评选条件：</w:t>
      </w:r>
    </w:p>
    <w:p>
      <w:pPr>
        <w:keepNext w:val="0"/>
        <w:keepLines w:val="0"/>
        <w:pageBreakBefore w:val="0"/>
        <w:widowControl w:val="0"/>
        <w:numPr>
          <w:ilvl w:val="0"/>
          <w:numId w:val="35"/>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本奖学金不与学校其他研究生专项奖学金兼得（不含国家奖学金），每位学生依据条件自愿申报；</w:t>
      </w:r>
    </w:p>
    <w:p>
      <w:pPr>
        <w:keepNext w:val="0"/>
        <w:keepLines w:val="0"/>
        <w:pageBreakBefore w:val="0"/>
        <w:widowControl w:val="0"/>
        <w:numPr>
          <w:ilvl w:val="0"/>
          <w:numId w:val="35"/>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具有良好的思想觉悟与道德品质，遵纪守法，热爱祖国、热爱集体，尊敬师长，诚信刻苦，身心健康；</w:t>
      </w:r>
    </w:p>
    <w:p>
      <w:pPr>
        <w:keepNext w:val="0"/>
        <w:keepLines w:val="0"/>
        <w:pageBreakBefore w:val="0"/>
        <w:widowControl w:val="0"/>
        <w:numPr>
          <w:ilvl w:val="0"/>
          <w:numId w:val="35"/>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具有良好的研究开发能力及团队合作精神，具有良好的外（英）语会话及写作能力；</w:t>
      </w:r>
    </w:p>
    <w:p>
      <w:pPr>
        <w:keepNext w:val="0"/>
        <w:keepLines w:val="0"/>
        <w:pageBreakBefore w:val="0"/>
        <w:widowControl w:val="0"/>
        <w:numPr>
          <w:ilvl w:val="0"/>
          <w:numId w:val="35"/>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符合评选条件1、2、3条，同时具备下列条件之一可以申报“ 秋琦教授专项奖励基金”研究生专项奖学金：</w:t>
      </w:r>
    </w:p>
    <w:p>
      <w:pPr>
        <w:keepNext w:val="0"/>
        <w:keepLines w:val="0"/>
        <w:pageBreakBefore w:val="0"/>
        <w:widowControl w:val="0"/>
        <w:numPr>
          <w:ilvl w:val="0"/>
          <w:numId w:val="36"/>
        </w:numPr>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排名前10%的优秀硕士、博士研究生</w:t>
      </w:r>
      <w:r>
        <w:rPr>
          <w:rFonts w:hint="eastAsia" w:ascii="仿宋" w:hAnsi="仿宋" w:eastAsia="仿宋" w:cs="仿宋"/>
          <w:sz w:val="28"/>
          <w:szCs w:val="28"/>
          <w:lang w:eastAsia="zh-CN"/>
        </w:rPr>
        <w:t>；</w:t>
      </w:r>
    </w:p>
    <w:p>
      <w:pPr>
        <w:keepNext w:val="0"/>
        <w:keepLines w:val="0"/>
        <w:pageBreakBefore w:val="0"/>
        <w:widowControl w:val="0"/>
        <w:numPr>
          <w:ilvl w:val="0"/>
          <w:numId w:val="36"/>
        </w:numPr>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计算机学院优秀研究生，</w:t>
      </w:r>
      <w:bookmarkStart w:id="16" w:name="OLE_LINK1"/>
      <w:r>
        <w:rPr>
          <w:rFonts w:hint="eastAsia" w:ascii="仿宋" w:hAnsi="仿宋" w:eastAsia="仿宋" w:cs="仿宋"/>
          <w:sz w:val="28"/>
          <w:szCs w:val="28"/>
        </w:rPr>
        <w:t>在学制年限内，学术科研成果突出、潜心从事科研工作：公开发表A类论文2篇(《北京交通大学论文分类办法》，下同)（第一作者）</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rPr>
        <w:t>（3）计算机学院优秀研究生，在学制年限内，作为主要参加者参加学校承担的相关国家级科研项目，项目已取得阶段性成果，公开发表A类论文1篇（第一作者）</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（4）计算机学院优秀研究生，在学制年限内，参加全国性大学生论文、科研成果或实用发明大赛获二等奖及以上。</w:t>
      </w:r>
    </w:p>
    <w:bookmarkEnd w:id="16"/>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评选流程：</w:t>
      </w:r>
    </w:p>
    <w:p>
      <w:pPr>
        <w:keepNext w:val="0"/>
        <w:keepLines w:val="0"/>
        <w:pageBreakBefore w:val="0"/>
        <w:widowControl w:val="0"/>
        <w:numPr>
          <w:ilvl w:val="0"/>
          <w:numId w:val="37"/>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材料审核初筛；</w:t>
      </w:r>
    </w:p>
    <w:p>
      <w:pPr>
        <w:keepNext w:val="0"/>
        <w:keepLines w:val="0"/>
        <w:pageBreakBefore w:val="0"/>
        <w:widowControl w:val="0"/>
        <w:numPr>
          <w:ilvl w:val="0"/>
          <w:numId w:val="37"/>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研究生综合测评小组评定；</w:t>
      </w:r>
    </w:p>
    <w:p>
      <w:pPr>
        <w:keepNext w:val="0"/>
        <w:keepLines w:val="0"/>
        <w:pageBreakBefore w:val="0"/>
        <w:widowControl w:val="0"/>
        <w:numPr>
          <w:ilvl w:val="0"/>
          <w:numId w:val="37"/>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院内公示。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b/>
          <w:bCs/>
          <w:sz w:val="28"/>
          <w:szCs w:val="28"/>
          <w:lang w:eastAsia="zh-CN"/>
        </w:rPr>
      </w:pPr>
      <w:r>
        <w:rPr>
          <w:rFonts w:hint="eastAsia" w:ascii="仿宋" w:hAnsi="仿宋" w:eastAsia="仿宋" w:cs="仿宋"/>
          <w:b/>
          <w:bCs/>
          <w:sz w:val="28"/>
          <w:szCs w:val="28"/>
        </w:rPr>
        <w:t>申报及评审组织工作</w:t>
      </w:r>
      <w:r>
        <w:rPr>
          <w:rFonts w:hint="eastAsia" w:ascii="仿宋" w:hAnsi="仿宋" w:eastAsia="仿宋" w:cs="仿宋"/>
          <w:b/>
          <w:bCs/>
          <w:sz w:val="28"/>
          <w:szCs w:val="28"/>
          <w:lang w:eastAsia="zh-CN"/>
        </w:rPr>
        <w:t>：</w:t>
      </w:r>
    </w:p>
    <w:p>
      <w:pPr>
        <w:keepNext w:val="0"/>
        <w:keepLines w:val="0"/>
        <w:pageBreakBefore w:val="0"/>
        <w:widowControl w:val="0"/>
        <w:numPr>
          <w:ilvl w:val="0"/>
          <w:numId w:val="38"/>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申报时间为：每年9月，按研究生各专项奖学金申报时间统一受理；</w:t>
      </w:r>
    </w:p>
    <w:p>
      <w:pPr>
        <w:keepNext w:val="0"/>
        <w:keepLines w:val="0"/>
        <w:pageBreakBefore w:val="0"/>
        <w:widowControl w:val="0"/>
        <w:numPr>
          <w:ilvl w:val="0"/>
          <w:numId w:val="38"/>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材料审核、评审、及公示在每年的规定时间完成；</w:t>
      </w:r>
    </w:p>
    <w:p>
      <w:pPr>
        <w:keepNext w:val="0"/>
        <w:keepLines w:val="0"/>
        <w:pageBreakBefore w:val="0"/>
        <w:widowControl w:val="0"/>
        <w:numPr>
          <w:ilvl w:val="0"/>
          <w:numId w:val="38"/>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每年奖学金按学校统一时间发放</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组织分工：</w:t>
      </w:r>
    </w:p>
    <w:p>
      <w:pPr>
        <w:keepNext w:val="0"/>
        <w:keepLines w:val="0"/>
        <w:pageBreakBefore w:val="0"/>
        <w:widowControl w:val="0"/>
        <w:numPr>
          <w:ilvl w:val="0"/>
          <w:numId w:val="39"/>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申报工作、材料审核的组织工作由计算机学院研究生工作组负责；</w:t>
      </w:r>
    </w:p>
    <w:p>
      <w:pPr>
        <w:keepNext w:val="0"/>
        <w:keepLines w:val="0"/>
        <w:pageBreakBefore w:val="0"/>
        <w:widowControl w:val="0"/>
        <w:numPr>
          <w:ilvl w:val="0"/>
          <w:numId w:val="39"/>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院基金评定小组负责评审选拨工作。</w:t>
      </w:r>
    </w:p>
    <w:p>
      <w:pPr>
        <w:pStyle w:val="2"/>
        <w:keepNext/>
        <w:keepLines/>
        <w:pageBreakBefore w:val="0"/>
        <w:widowControl w:val="0"/>
        <w:numPr>
          <w:ilvl w:val="0"/>
          <w:numId w:val="1"/>
        </w:numPr>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0"/>
        <w:rPr>
          <w:rFonts w:hint="eastAsia" w:ascii="黑体" w:hAnsi="黑体" w:eastAsia="黑体" w:cs="黑体"/>
          <w:b w:val="0"/>
          <w:bCs/>
          <w:sz w:val="30"/>
          <w:szCs w:val="30"/>
          <w:lang w:val="en-US" w:eastAsia="zh-CN"/>
        </w:rPr>
      </w:pPr>
      <w:bookmarkStart w:id="17" w:name="_Toc32266"/>
      <w:r>
        <w:rPr>
          <w:rFonts w:hint="eastAsia" w:ascii="黑体" w:hAnsi="黑体" w:eastAsia="黑体" w:cs="黑体"/>
          <w:b w:val="0"/>
          <w:bCs/>
          <w:sz w:val="30"/>
          <w:szCs w:val="30"/>
          <w:lang w:val="en-US" w:eastAsia="zh-CN"/>
        </w:rPr>
        <w:t>太原重工教育基金</w:t>
      </w:r>
      <w:bookmarkEnd w:id="17"/>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项目号：</w:t>
      </w:r>
      <w:r>
        <w:rPr>
          <w:rFonts w:hint="eastAsia" w:ascii="仿宋" w:hAnsi="仿宋" w:eastAsia="仿宋" w:cs="仿宋"/>
          <w:b w:val="0"/>
          <w:bCs w:val="0"/>
          <w:sz w:val="28"/>
          <w:szCs w:val="28"/>
          <w:lang w:val="en-US" w:eastAsia="zh-CN"/>
        </w:rPr>
        <w:t>06010086</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捐赠方：</w:t>
      </w:r>
      <w:r>
        <w:rPr>
          <w:rFonts w:hint="eastAsia" w:ascii="仿宋" w:hAnsi="仿宋" w:eastAsia="仿宋" w:cs="仿宋"/>
          <w:sz w:val="28"/>
          <w:szCs w:val="28"/>
        </w:rPr>
        <w:t>太原重工轨道交通设备有限公司</w:t>
      </w:r>
    </w:p>
    <w:p>
      <w:pPr>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b/>
          <w:bCs/>
          <w:sz w:val="28"/>
          <w:szCs w:val="28"/>
          <w:lang w:eastAsia="zh-CN"/>
        </w:rPr>
        <w:t>评选范围：</w:t>
      </w:r>
      <w:r>
        <w:rPr>
          <w:rFonts w:hint="eastAsia" w:ascii="仿宋" w:hAnsi="仿宋" w:eastAsia="仿宋" w:cs="仿宋"/>
          <w:sz w:val="28"/>
          <w:szCs w:val="28"/>
        </w:rPr>
        <w:t>北京交通大学机电学院在校全日制本科生和车辆专业研究生</w:t>
      </w:r>
    </w:p>
    <w:p>
      <w:pPr>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b/>
          <w:bCs/>
          <w:sz w:val="28"/>
          <w:szCs w:val="28"/>
        </w:rPr>
        <w:t>名额及金额：</w:t>
      </w:r>
      <w:r>
        <w:rPr>
          <w:rFonts w:hint="eastAsia" w:ascii="仿宋" w:hAnsi="仿宋" w:eastAsia="仿宋" w:cs="仿宋"/>
          <w:b w:val="0"/>
          <w:bCs w:val="0"/>
          <w:sz w:val="28"/>
          <w:szCs w:val="28"/>
          <w:lang w:eastAsia="zh-CN"/>
        </w:rPr>
        <w:t>共</w:t>
      </w:r>
      <w:r>
        <w:rPr>
          <w:rFonts w:hint="eastAsia" w:ascii="仿宋" w:hAnsi="仿宋" w:eastAsia="仿宋" w:cs="仿宋"/>
          <w:b w:val="0"/>
          <w:bCs w:val="0"/>
          <w:sz w:val="28"/>
          <w:szCs w:val="28"/>
          <w:lang w:val="en-US" w:eastAsia="zh-CN"/>
        </w:rPr>
        <w:t>32人，其中</w:t>
      </w:r>
      <w:r>
        <w:rPr>
          <w:rFonts w:hint="eastAsia" w:ascii="仿宋" w:hAnsi="仿宋" w:eastAsia="仿宋" w:cs="仿宋"/>
          <w:sz w:val="28"/>
          <w:szCs w:val="28"/>
        </w:rPr>
        <w:t>车辆专业研究生和本科生各8名、非车辆专业本科生16名，5000元/人·年</w:t>
      </w:r>
    </w:p>
    <w:p>
      <w:pPr>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bCs/>
          <w:sz w:val="28"/>
          <w:szCs w:val="28"/>
          <w:lang w:eastAsia="zh-CN"/>
        </w:rPr>
      </w:pPr>
      <w:r>
        <w:rPr>
          <w:rFonts w:hint="eastAsia" w:ascii="仿宋" w:hAnsi="仿宋" w:eastAsia="仿宋" w:cs="仿宋"/>
          <w:b/>
          <w:bCs/>
          <w:sz w:val="28"/>
          <w:szCs w:val="28"/>
        </w:rPr>
        <w:t>评选条件</w:t>
      </w:r>
      <w:r>
        <w:rPr>
          <w:rFonts w:hint="eastAsia" w:ascii="仿宋" w:hAnsi="仿宋" w:eastAsia="仿宋" w:cs="仿宋"/>
          <w:b/>
          <w:bCs/>
          <w:sz w:val="28"/>
          <w:szCs w:val="28"/>
          <w:lang w:eastAsia="zh-CN"/>
        </w:rPr>
        <w:t>：</w:t>
      </w:r>
    </w:p>
    <w:p>
      <w:pPr>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 w:hAnsi="仿宋" w:eastAsia="仿宋" w:cs="仿宋"/>
          <w:b/>
          <w:bCs/>
          <w:sz w:val="28"/>
          <w:szCs w:val="28"/>
          <w:lang w:eastAsia="zh-CN"/>
        </w:rPr>
      </w:pPr>
      <w:r>
        <w:rPr>
          <w:rFonts w:hint="eastAsia" w:ascii="仿宋" w:hAnsi="仿宋" w:eastAsia="仿宋" w:cs="仿宋"/>
          <w:b/>
          <w:bCs/>
          <w:sz w:val="28"/>
          <w:szCs w:val="28"/>
        </w:rPr>
        <w:t>本科生</w:t>
      </w:r>
      <w:r>
        <w:rPr>
          <w:rFonts w:hint="eastAsia" w:ascii="仿宋" w:hAnsi="仿宋" w:eastAsia="仿宋" w:cs="仿宋"/>
          <w:b/>
          <w:bCs/>
          <w:sz w:val="28"/>
          <w:szCs w:val="28"/>
          <w:lang w:eastAsia="zh-CN"/>
        </w:rPr>
        <w:t>：</w:t>
      </w:r>
    </w:p>
    <w:p>
      <w:pPr>
        <w:keepNext w:val="0"/>
        <w:keepLines w:val="0"/>
        <w:pageBreakBefore w:val="0"/>
        <w:widowControl w:val="0"/>
        <w:numPr>
          <w:ilvl w:val="0"/>
          <w:numId w:val="40"/>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思想进步，热爱祖国，热爱中国共产党；</w:t>
      </w:r>
    </w:p>
    <w:p>
      <w:pPr>
        <w:keepNext w:val="0"/>
        <w:keepLines w:val="0"/>
        <w:pageBreakBefore w:val="0"/>
        <w:widowControl w:val="0"/>
        <w:numPr>
          <w:ilvl w:val="0"/>
          <w:numId w:val="40"/>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遵守国家法律法规和校纪校规，品行端正，无违法乱纪行为；</w:t>
      </w:r>
    </w:p>
    <w:p>
      <w:pPr>
        <w:keepNext w:val="0"/>
        <w:keepLines w:val="0"/>
        <w:pageBreakBefore w:val="0"/>
        <w:widowControl w:val="0"/>
        <w:numPr>
          <w:ilvl w:val="0"/>
          <w:numId w:val="40"/>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学习勤奋刻苦，加权平均学习成绩居专业前50%；</w:t>
      </w:r>
    </w:p>
    <w:p>
      <w:pPr>
        <w:keepNext w:val="0"/>
        <w:keepLines w:val="0"/>
        <w:pageBreakBefore w:val="0"/>
        <w:widowControl w:val="0"/>
        <w:numPr>
          <w:ilvl w:val="0"/>
          <w:numId w:val="40"/>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具有较高的综合素质和创新能力潜质；</w:t>
      </w:r>
    </w:p>
    <w:p>
      <w:pPr>
        <w:keepNext w:val="0"/>
        <w:keepLines w:val="0"/>
        <w:pageBreakBefore w:val="0"/>
        <w:widowControl w:val="0"/>
        <w:numPr>
          <w:ilvl w:val="0"/>
          <w:numId w:val="40"/>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家庭经济困难，生活俭朴。</w:t>
      </w:r>
    </w:p>
    <w:p>
      <w:pPr>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 w:hAnsi="仿宋" w:eastAsia="仿宋" w:cs="仿宋"/>
          <w:b/>
          <w:bCs/>
          <w:sz w:val="28"/>
          <w:szCs w:val="28"/>
          <w:lang w:eastAsia="zh-CN"/>
        </w:rPr>
      </w:pPr>
      <w:r>
        <w:rPr>
          <w:rFonts w:hint="eastAsia" w:ascii="仿宋" w:hAnsi="仿宋" w:eastAsia="仿宋" w:cs="仿宋"/>
          <w:b/>
          <w:bCs/>
          <w:sz w:val="28"/>
          <w:szCs w:val="28"/>
        </w:rPr>
        <w:t>研究生</w:t>
      </w:r>
      <w:r>
        <w:rPr>
          <w:rFonts w:hint="eastAsia" w:ascii="仿宋" w:hAnsi="仿宋" w:eastAsia="仿宋" w:cs="仿宋"/>
          <w:b/>
          <w:bCs/>
          <w:sz w:val="28"/>
          <w:szCs w:val="28"/>
          <w:lang w:eastAsia="zh-CN"/>
        </w:rPr>
        <w:t>：</w:t>
      </w:r>
    </w:p>
    <w:p>
      <w:pPr>
        <w:keepNext w:val="0"/>
        <w:keepLines w:val="0"/>
        <w:pageBreakBefore w:val="0"/>
        <w:widowControl w:val="0"/>
        <w:numPr>
          <w:ilvl w:val="0"/>
          <w:numId w:val="41"/>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思想进步，热爱祖国，热爱中国共产党；</w:t>
      </w:r>
    </w:p>
    <w:p>
      <w:pPr>
        <w:keepNext w:val="0"/>
        <w:keepLines w:val="0"/>
        <w:pageBreakBefore w:val="0"/>
        <w:widowControl w:val="0"/>
        <w:numPr>
          <w:ilvl w:val="0"/>
          <w:numId w:val="41"/>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遵守国家法律法规和校纪校规，品行端正，无违法乱纪行为；</w:t>
      </w:r>
    </w:p>
    <w:p>
      <w:pPr>
        <w:keepNext w:val="0"/>
        <w:keepLines w:val="0"/>
        <w:pageBreakBefore w:val="0"/>
        <w:widowControl w:val="0"/>
        <w:numPr>
          <w:ilvl w:val="0"/>
          <w:numId w:val="41"/>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学习勤奋刻苦，成绩优良，科研能力较强；</w:t>
      </w:r>
    </w:p>
    <w:p>
      <w:pPr>
        <w:keepNext w:val="0"/>
        <w:keepLines w:val="0"/>
        <w:pageBreakBefore w:val="0"/>
        <w:widowControl w:val="0"/>
        <w:numPr>
          <w:ilvl w:val="0"/>
          <w:numId w:val="41"/>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具有较高的综合素质和创新能力潜质；</w:t>
      </w:r>
    </w:p>
    <w:p>
      <w:pPr>
        <w:keepNext w:val="0"/>
        <w:keepLines w:val="0"/>
        <w:pageBreakBefore w:val="0"/>
        <w:widowControl w:val="0"/>
        <w:numPr>
          <w:ilvl w:val="0"/>
          <w:numId w:val="41"/>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同等条件下家庭经济困难学生优先。</w:t>
      </w:r>
    </w:p>
    <w:p>
      <w:pPr>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bCs/>
          <w:sz w:val="28"/>
          <w:szCs w:val="28"/>
          <w:lang w:eastAsia="zh-CN"/>
        </w:rPr>
      </w:pPr>
      <w:r>
        <w:rPr>
          <w:rFonts w:hint="eastAsia" w:ascii="仿宋" w:hAnsi="仿宋" w:eastAsia="仿宋" w:cs="仿宋"/>
          <w:b/>
          <w:bCs/>
          <w:sz w:val="28"/>
          <w:szCs w:val="28"/>
        </w:rPr>
        <w:t>评审管理</w:t>
      </w:r>
      <w:r>
        <w:rPr>
          <w:rFonts w:hint="eastAsia" w:ascii="仿宋" w:hAnsi="仿宋" w:eastAsia="仿宋" w:cs="仿宋"/>
          <w:b/>
          <w:bCs/>
          <w:sz w:val="28"/>
          <w:szCs w:val="28"/>
          <w:lang w:eastAsia="zh-CN"/>
        </w:rPr>
        <w:t>：</w:t>
      </w:r>
    </w:p>
    <w:p>
      <w:pPr>
        <w:keepNext w:val="0"/>
        <w:keepLines w:val="0"/>
        <w:pageBreakBefore w:val="0"/>
        <w:widowControl w:val="0"/>
        <w:numPr>
          <w:ilvl w:val="0"/>
          <w:numId w:val="42"/>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“太原重工奖学金”每学年评审一次，教育基金会设立专门项目，统一管理，学生工作处、学生资助管理中心和研究生院根据获奖学生制表发放，由教育基金会打入学生银行卡；</w:t>
      </w:r>
    </w:p>
    <w:p>
      <w:pPr>
        <w:keepNext w:val="0"/>
        <w:keepLines w:val="0"/>
        <w:pageBreakBefore w:val="0"/>
        <w:widowControl w:val="0"/>
        <w:numPr>
          <w:ilvl w:val="0"/>
          <w:numId w:val="42"/>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获奖后至学生毕业受到学校纪律处分的学生，由学生工作处或研究生院负责追回其奖学金并取消其荣誉称号。</w:t>
      </w:r>
    </w:p>
    <w:p>
      <w:pPr>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p>
    <w:p>
      <w:pPr>
        <w:pStyle w:val="2"/>
        <w:keepNext/>
        <w:keepLines/>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Chars="0" w:right="0" w:rightChars="0"/>
        <w:jc w:val="both"/>
        <w:textAlignment w:val="auto"/>
        <w:outlineLvl w:val="0"/>
        <w:rPr>
          <w:rFonts w:hint="eastAsia" w:ascii="仿宋" w:hAnsi="仿宋" w:eastAsia="仿宋" w:cs="仿宋"/>
          <w:b w:val="0"/>
          <w:bCs/>
          <w:sz w:val="30"/>
          <w:szCs w:val="30"/>
          <w:lang w:val="en-US" w:eastAsia="zh-CN"/>
        </w:rPr>
      </w:pPr>
    </w:p>
    <w:p>
      <w:pPr>
        <w:pStyle w:val="2"/>
        <w:keepNext/>
        <w:keepLines/>
        <w:pageBreakBefore w:val="0"/>
        <w:widowControl w:val="0"/>
        <w:numPr>
          <w:ilvl w:val="0"/>
          <w:numId w:val="1"/>
        </w:numPr>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0"/>
        <w:rPr>
          <w:rFonts w:hint="eastAsia" w:ascii="黑体" w:hAnsi="黑体" w:eastAsia="黑体" w:cs="黑体"/>
          <w:b w:val="0"/>
          <w:bCs/>
          <w:sz w:val="30"/>
          <w:szCs w:val="30"/>
          <w:lang w:val="en-US" w:eastAsia="zh-CN"/>
        </w:rPr>
      </w:pPr>
      <w:bookmarkStart w:id="18" w:name="_Toc30994"/>
      <w:r>
        <w:rPr>
          <w:rFonts w:hint="eastAsia" w:ascii="黑体" w:hAnsi="黑体" w:eastAsia="黑体" w:cs="黑体"/>
          <w:b w:val="0"/>
          <w:bCs/>
          <w:sz w:val="30"/>
          <w:szCs w:val="30"/>
          <w:lang w:val="en-US" w:eastAsia="zh-CN"/>
        </w:rPr>
        <w:t>东方毅法学教育基金</w:t>
      </w:r>
      <w:bookmarkEnd w:id="18"/>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项目号：</w:t>
      </w:r>
      <w:r>
        <w:rPr>
          <w:rFonts w:hint="eastAsia" w:ascii="仿宋" w:hAnsi="仿宋" w:eastAsia="仿宋" w:cs="仿宋"/>
          <w:b w:val="0"/>
          <w:bCs w:val="0"/>
          <w:sz w:val="28"/>
          <w:szCs w:val="28"/>
          <w:lang w:val="en-US" w:eastAsia="zh-CN"/>
        </w:rPr>
        <w:t>22010087</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捐赠方：</w:t>
      </w:r>
      <w:r>
        <w:rPr>
          <w:rFonts w:hint="eastAsia" w:ascii="仿宋" w:hAnsi="仿宋" w:eastAsia="仿宋" w:cs="仿宋"/>
          <w:sz w:val="28"/>
          <w:szCs w:val="28"/>
        </w:rPr>
        <w:t>北京东方毅拓展文化发展有限公司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评选范围：</w:t>
      </w:r>
      <w:r>
        <w:rPr>
          <w:rFonts w:hint="eastAsia" w:ascii="仿宋" w:hAnsi="仿宋" w:eastAsia="仿宋" w:cs="仿宋"/>
          <w:sz w:val="28"/>
          <w:szCs w:val="28"/>
        </w:rPr>
        <w:t>法学院品学兼优的全日制在校生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名额及金额：</w:t>
      </w:r>
      <w:r>
        <w:rPr>
          <w:rFonts w:hint="eastAsia" w:ascii="仿宋" w:hAnsi="仿宋" w:eastAsia="仿宋" w:cs="仿宋"/>
          <w:sz w:val="28"/>
          <w:szCs w:val="28"/>
          <w:lang w:val="en-US" w:eastAsia="zh-CN"/>
        </w:rPr>
        <w:t>共6人，其中一等奖1名本科生，3000元/人˙年，二等奖2名，一名硕士研究生，一名本科生，2000元/人˙年，三等奖3名，1名硕士研究生，2名本科生，1000元/人˙年</w:t>
      </w:r>
    </w:p>
    <w:p>
      <w:pPr>
        <w:rPr>
          <w:rFonts w:hint="eastAsia"/>
          <w:lang w:val="en-US" w:eastAsia="zh-CN"/>
        </w:rPr>
      </w:pPr>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 w:hAnsi="仿宋" w:eastAsia="仿宋" w:cs="仿宋"/>
          <w:b/>
          <w:bCs/>
          <w:sz w:val="28"/>
          <w:szCs w:val="28"/>
          <w:lang w:val="en-US" w:eastAsia="zh-CN"/>
        </w:rPr>
      </w:pPr>
    </w:p>
    <w:p>
      <w:pPr>
        <w:pStyle w:val="2"/>
        <w:keepNext/>
        <w:keepLines/>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Chars="0" w:right="0" w:rightChars="0"/>
        <w:jc w:val="both"/>
        <w:textAlignment w:val="auto"/>
        <w:outlineLvl w:val="0"/>
        <w:rPr>
          <w:rFonts w:hint="eastAsia" w:ascii="仿宋" w:hAnsi="仿宋" w:eastAsia="仿宋" w:cs="仿宋"/>
          <w:b w:val="0"/>
          <w:bCs/>
          <w:sz w:val="30"/>
          <w:szCs w:val="30"/>
          <w:lang w:val="en-US" w:eastAsia="zh-CN"/>
        </w:rPr>
      </w:pPr>
    </w:p>
    <w:p>
      <w:pPr>
        <w:pStyle w:val="2"/>
        <w:keepNext/>
        <w:keepLines/>
        <w:pageBreakBefore w:val="0"/>
        <w:widowControl w:val="0"/>
        <w:numPr>
          <w:ilvl w:val="0"/>
          <w:numId w:val="1"/>
        </w:numPr>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0"/>
        <w:rPr>
          <w:rFonts w:hint="eastAsia" w:ascii="黑体" w:hAnsi="黑体" w:eastAsia="黑体" w:cs="黑体"/>
          <w:b w:val="0"/>
          <w:bCs/>
          <w:sz w:val="30"/>
          <w:szCs w:val="30"/>
          <w:lang w:val="en-US" w:eastAsia="zh-CN"/>
        </w:rPr>
      </w:pPr>
      <w:bookmarkStart w:id="19" w:name="_Toc15999"/>
      <w:r>
        <w:rPr>
          <w:rFonts w:hint="eastAsia" w:ascii="黑体" w:hAnsi="黑体" w:eastAsia="黑体" w:cs="黑体"/>
          <w:b w:val="0"/>
          <w:bCs/>
          <w:sz w:val="30"/>
          <w:szCs w:val="30"/>
          <w:lang w:val="en-US" w:eastAsia="zh-CN"/>
        </w:rPr>
        <w:t>赛迪教育基金</w:t>
      </w:r>
      <w:bookmarkEnd w:id="19"/>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项目号：</w:t>
      </w:r>
      <w:r>
        <w:rPr>
          <w:rFonts w:hint="eastAsia" w:ascii="仿宋" w:hAnsi="仿宋" w:eastAsia="仿宋" w:cs="仿宋"/>
          <w:b w:val="0"/>
          <w:bCs w:val="0"/>
          <w:sz w:val="28"/>
          <w:szCs w:val="28"/>
          <w:lang w:val="en-US" w:eastAsia="zh-CN"/>
        </w:rPr>
        <w:t>03010089</w:t>
      </w:r>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捐赠方：</w:t>
      </w:r>
      <w:r>
        <w:rPr>
          <w:rFonts w:hint="eastAsia" w:ascii="仿宋_GB2312" w:eastAsia="仿宋_GB2312" w:cs="仿宋_GB2312"/>
          <w:sz w:val="28"/>
          <w:szCs w:val="28"/>
        </w:rPr>
        <w:t>赛迪顾问股份有限公司</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评选范围：</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b w:val="0"/>
          <w:bCs w:val="0"/>
          <w:sz w:val="28"/>
          <w:szCs w:val="28"/>
        </w:rPr>
        <w:t>赛迪奖学金</w:t>
      </w:r>
      <w:r>
        <w:rPr>
          <w:rFonts w:hint="eastAsia" w:ascii="仿宋" w:hAnsi="仿宋" w:eastAsia="仿宋" w:cs="仿宋"/>
          <w:b w:val="0"/>
          <w:bCs w:val="0"/>
          <w:sz w:val="28"/>
          <w:szCs w:val="28"/>
          <w:lang w:eastAsia="zh-CN"/>
        </w:rPr>
        <w:t>：</w:t>
      </w:r>
      <w:r>
        <w:rPr>
          <w:rFonts w:hint="eastAsia" w:ascii="仿宋" w:hAnsi="仿宋" w:eastAsia="仿宋" w:cs="仿宋"/>
          <w:sz w:val="28"/>
          <w:szCs w:val="28"/>
        </w:rPr>
        <w:t>北京交通大学</w:t>
      </w:r>
      <w:r>
        <w:rPr>
          <w:rFonts w:hint="eastAsia" w:ascii="仿宋" w:hAnsi="仿宋" w:eastAsia="仿宋" w:cs="仿宋"/>
          <w:sz w:val="28"/>
          <w:szCs w:val="28"/>
          <w:lang w:eastAsia="zh-CN"/>
        </w:rPr>
        <w:t>经济管理学院</w:t>
      </w:r>
      <w:r>
        <w:rPr>
          <w:rFonts w:hint="eastAsia" w:ascii="仿宋" w:hAnsi="仿宋" w:eastAsia="仿宋" w:cs="仿宋"/>
          <w:sz w:val="28"/>
          <w:szCs w:val="28"/>
        </w:rPr>
        <w:t>学院“赛迪班”优秀研究生；</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b w:val="0"/>
          <w:bCs w:val="0"/>
          <w:sz w:val="28"/>
          <w:szCs w:val="28"/>
        </w:rPr>
        <w:t>赛迪卓越贡献奖学金</w:t>
      </w:r>
      <w:r>
        <w:rPr>
          <w:rFonts w:hint="eastAsia" w:ascii="仿宋" w:hAnsi="仿宋" w:eastAsia="仿宋" w:cs="仿宋"/>
          <w:b w:val="0"/>
          <w:bCs w:val="0"/>
          <w:sz w:val="28"/>
          <w:szCs w:val="28"/>
          <w:lang w:eastAsia="zh-CN"/>
        </w:rPr>
        <w:t>：</w:t>
      </w:r>
      <w:r>
        <w:rPr>
          <w:rFonts w:hint="eastAsia" w:ascii="仿宋" w:hAnsi="仿宋" w:eastAsia="仿宋" w:cs="仿宋"/>
          <w:sz w:val="28"/>
          <w:szCs w:val="28"/>
        </w:rPr>
        <w:t>北京交通大学</w:t>
      </w:r>
      <w:r>
        <w:rPr>
          <w:rFonts w:hint="eastAsia" w:ascii="仿宋" w:hAnsi="仿宋" w:eastAsia="仿宋" w:cs="仿宋"/>
          <w:sz w:val="28"/>
          <w:szCs w:val="28"/>
          <w:lang w:eastAsia="zh-CN"/>
        </w:rPr>
        <w:t>经济管理学院</w:t>
      </w:r>
      <w:r>
        <w:rPr>
          <w:rFonts w:hint="eastAsia" w:ascii="仿宋" w:hAnsi="仿宋" w:eastAsia="仿宋" w:cs="仿宋"/>
          <w:sz w:val="28"/>
          <w:szCs w:val="28"/>
        </w:rPr>
        <w:t>学院“赛迪班”负责班级联络工作、在赛迪顾问表现良好、成绩优良的研究生</w:t>
      </w:r>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 w:hAnsi="仿宋" w:eastAsia="仿宋" w:cs="仿宋"/>
          <w:b/>
          <w:bCs/>
          <w:sz w:val="28"/>
          <w:szCs w:val="28"/>
        </w:rPr>
      </w:pPr>
      <w:r>
        <w:rPr>
          <w:rFonts w:hint="eastAsia" w:ascii="仿宋" w:hAnsi="仿宋" w:eastAsia="仿宋" w:cs="仿宋"/>
          <w:b/>
          <w:bCs/>
          <w:sz w:val="28"/>
          <w:szCs w:val="28"/>
        </w:rPr>
        <w:t>名额及金额：</w:t>
      </w:r>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rPr>
          <w:rFonts w:hint="eastAsia" w:ascii="仿宋" w:hAnsi="仿宋" w:eastAsia="仿宋" w:cs="仿宋"/>
          <w:sz w:val="28"/>
          <w:szCs w:val="28"/>
        </w:rPr>
      </w:pPr>
      <w:r>
        <w:rPr>
          <w:rFonts w:hint="eastAsia" w:ascii="仿宋" w:hAnsi="仿宋" w:eastAsia="仿宋" w:cs="仿宋"/>
          <w:b w:val="0"/>
          <w:bCs w:val="0"/>
          <w:sz w:val="28"/>
          <w:szCs w:val="28"/>
        </w:rPr>
        <w:t>赛迪奖学金</w:t>
      </w:r>
      <w:r>
        <w:rPr>
          <w:rFonts w:hint="eastAsia" w:ascii="仿宋" w:hAnsi="仿宋" w:eastAsia="仿宋" w:cs="仿宋"/>
          <w:b w:val="0"/>
          <w:bCs w:val="0"/>
          <w:sz w:val="28"/>
          <w:szCs w:val="28"/>
          <w:lang w:eastAsia="zh-CN"/>
        </w:rPr>
        <w:t>：</w:t>
      </w:r>
      <w:r>
        <w:rPr>
          <w:rFonts w:hint="eastAsia" w:ascii="仿宋" w:hAnsi="仿宋" w:eastAsia="仿宋" w:cs="仿宋"/>
          <w:sz w:val="28"/>
          <w:szCs w:val="28"/>
        </w:rPr>
        <w:t>“赛迪班”优秀研究生8名（或根据学生当年表现情况由赛迪顾问和社会服务与校友办公室确定最终人数），其中一等奖一名，奖励金额10000</w:t>
      </w:r>
      <w:r>
        <w:rPr>
          <w:rFonts w:hint="eastAsia" w:ascii="仿宋" w:hAnsi="仿宋" w:eastAsia="仿宋" w:cs="仿宋"/>
          <w:sz w:val="28"/>
          <w:szCs w:val="28"/>
          <w:lang w:val="en-US" w:eastAsia="zh-CN"/>
        </w:rPr>
        <w:t>元/人˙年</w:t>
      </w:r>
      <w:r>
        <w:rPr>
          <w:rFonts w:hint="eastAsia" w:ascii="仿宋" w:hAnsi="仿宋" w:eastAsia="仿宋" w:cs="仿宋"/>
          <w:sz w:val="28"/>
          <w:szCs w:val="28"/>
        </w:rPr>
        <w:t>；二等奖两名，奖励金额为5000</w:t>
      </w:r>
      <w:r>
        <w:rPr>
          <w:rFonts w:hint="eastAsia" w:ascii="仿宋" w:hAnsi="仿宋" w:eastAsia="仿宋" w:cs="仿宋"/>
          <w:sz w:val="28"/>
          <w:szCs w:val="28"/>
          <w:lang w:val="en-US" w:eastAsia="zh-CN"/>
        </w:rPr>
        <w:t>元/人˙年</w:t>
      </w:r>
      <w:r>
        <w:rPr>
          <w:rFonts w:hint="eastAsia" w:ascii="仿宋" w:hAnsi="仿宋" w:eastAsia="仿宋" w:cs="仿宋"/>
          <w:sz w:val="28"/>
          <w:szCs w:val="28"/>
        </w:rPr>
        <w:t>；三等奖五名，奖励金额为2000</w:t>
      </w:r>
      <w:r>
        <w:rPr>
          <w:rFonts w:hint="eastAsia" w:ascii="仿宋" w:hAnsi="仿宋" w:eastAsia="仿宋" w:cs="仿宋"/>
          <w:sz w:val="28"/>
          <w:szCs w:val="28"/>
          <w:lang w:val="en-US" w:eastAsia="zh-CN"/>
        </w:rPr>
        <w:t>元/人˙年</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b w:val="0"/>
          <w:bCs w:val="0"/>
          <w:sz w:val="28"/>
          <w:szCs w:val="28"/>
        </w:rPr>
        <w:t>赛迪卓越贡献奖学金</w:t>
      </w:r>
      <w:r>
        <w:rPr>
          <w:rFonts w:hint="eastAsia" w:ascii="仿宋" w:hAnsi="仿宋" w:eastAsia="仿宋" w:cs="仿宋"/>
          <w:b w:val="0"/>
          <w:bCs w:val="0"/>
          <w:sz w:val="28"/>
          <w:szCs w:val="28"/>
          <w:lang w:eastAsia="zh-CN"/>
        </w:rPr>
        <w:t>：</w:t>
      </w:r>
      <w:r>
        <w:rPr>
          <w:rFonts w:hint="eastAsia" w:ascii="仿宋" w:hAnsi="仿宋" w:eastAsia="仿宋" w:cs="仿宋"/>
          <w:sz w:val="28"/>
          <w:szCs w:val="28"/>
        </w:rPr>
        <w:t>“赛迪班”做出贡献的研究生2名，奖励金额为5000元/人·年；</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b/>
          <w:bCs/>
          <w:sz w:val="28"/>
          <w:szCs w:val="28"/>
          <w:lang w:eastAsia="zh-CN"/>
        </w:rPr>
      </w:pPr>
      <w:r>
        <w:rPr>
          <w:rFonts w:hint="eastAsia" w:ascii="仿宋" w:hAnsi="仿宋" w:eastAsia="仿宋" w:cs="仿宋"/>
          <w:b/>
          <w:bCs/>
          <w:sz w:val="28"/>
          <w:szCs w:val="28"/>
        </w:rPr>
        <w:t>评选条件</w:t>
      </w:r>
      <w:r>
        <w:rPr>
          <w:rFonts w:hint="eastAsia" w:ascii="仿宋" w:hAnsi="仿宋" w:eastAsia="仿宋" w:cs="仿宋"/>
          <w:b/>
          <w:bCs/>
          <w:sz w:val="28"/>
          <w:szCs w:val="28"/>
          <w:lang w:eastAsia="zh-CN"/>
        </w:rPr>
        <w:t>：</w:t>
      </w:r>
    </w:p>
    <w:p>
      <w:pPr>
        <w:keepNext w:val="0"/>
        <w:keepLines w:val="0"/>
        <w:pageBreakBefore w:val="0"/>
        <w:widowControl w:val="0"/>
        <w:numPr>
          <w:ilvl w:val="0"/>
          <w:numId w:val="43"/>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为经济管理学院学院“赛迪班”学生，参与赛迪顾问实习工作，表现良好；</w:t>
      </w:r>
    </w:p>
    <w:p>
      <w:pPr>
        <w:keepNext w:val="0"/>
        <w:keepLines w:val="0"/>
        <w:pageBreakBefore w:val="0"/>
        <w:widowControl w:val="0"/>
        <w:numPr>
          <w:ilvl w:val="0"/>
          <w:numId w:val="43"/>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思想进步，热爱祖国，热爱中国共产党；</w:t>
      </w:r>
    </w:p>
    <w:p>
      <w:pPr>
        <w:keepNext w:val="0"/>
        <w:keepLines w:val="0"/>
        <w:pageBreakBefore w:val="0"/>
        <w:widowControl w:val="0"/>
        <w:numPr>
          <w:ilvl w:val="0"/>
          <w:numId w:val="43"/>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遵守国家法律法规和校纪校规，品行端正，无违法乱纪行为；</w:t>
      </w:r>
    </w:p>
    <w:p>
      <w:pPr>
        <w:keepNext w:val="0"/>
        <w:keepLines w:val="0"/>
        <w:pageBreakBefore w:val="0"/>
        <w:widowControl w:val="0"/>
        <w:numPr>
          <w:ilvl w:val="0"/>
          <w:numId w:val="43"/>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积极参与“赛迪班”活动，为“赛迪班”建设和发展做出过贡献；</w:t>
      </w:r>
    </w:p>
    <w:p>
      <w:pPr>
        <w:keepNext w:val="0"/>
        <w:keepLines w:val="0"/>
        <w:pageBreakBefore w:val="0"/>
        <w:widowControl w:val="0"/>
        <w:numPr>
          <w:ilvl w:val="0"/>
          <w:numId w:val="43"/>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学习勤奋刻苦，成绩优良，科研能力较强；</w:t>
      </w:r>
    </w:p>
    <w:p>
      <w:pPr>
        <w:keepNext w:val="0"/>
        <w:keepLines w:val="0"/>
        <w:pageBreakBefore w:val="0"/>
        <w:widowControl w:val="0"/>
        <w:numPr>
          <w:ilvl w:val="0"/>
          <w:numId w:val="43"/>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具有较高的综合素质和创新能力潜质；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b/>
          <w:bCs/>
          <w:sz w:val="28"/>
          <w:szCs w:val="28"/>
          <w:lang w:eastAsia="zh-CN"/>
        </w:rPr>
      </w:pPr>
      <w:r>
        <w:rPr>
          <w:rFonts w:hint="eastAsia" w:ascii="仿宋" w:hAnsi="仿宋" w:eastAsia="仿宋" w:cs="仿宋"/>
          <w:b/>
          <w:bCs/>
          <w:sz w:val="28"/>
          <w:szCs w:val="28"/>
        </w:rPr>
        <w:t>评审管理</w:t>
      </w:r>
      <w:r>
        <w:rPr>
          <w:rFonts w:hint="eastAsia" w:ascii="仿宋" w:hAnsi="仿宋" w:eastAsia="仿宋" w:cs="仿宋"/>
          <w:b/>
          <w:bCs/>
          <w:sz w:val="28"/>
          <w:szCs w:val="28"/>
          <w:lang w:eastAsia="zh-CN"/>
        </w:rPr>
        <w:t>：</w:t>
      </w:r>
    </w:p>
    <w:p>
      <w:pPr>
        <w:keepNext w:val="0"/>
        <w:keepLines w:val="0"/>
        <w:pageBreakBefore w:val="0"/>
        <w:widowControl w:val="0"/>
        <w:numPr>
          <w:ilvl w:val="0"/>
          <w:numId w:val="44"/>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“赛迪奖学金”和“赛迪卓越贡献奖学金”每学年评审一次，教育基金会设立专门项目，统一管理，由研究生工作部根据获奖学生名单制作发放表，由教育基金会打入学生银行卡；</w:t>
      </w:r>
    </w:p>
    <w:p>
      <w:pPr>
        <w:keepNext w:val="0"/>
        <w:keepLines w:val="0"/>
        <w:pageBreakBefore w:val="0"/>
        <w:widowControl w:val="0"/>
        <w:numPr>
          <w:ilvl w:val="0"/>
          <w:numId w:val="44"/>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获奖后至学生毕业受到学校纪律处分的学生，由研究生工作部负责追回其奖学金并取消其荣誉称号。</w:t>
      </w:r>
    </w:p>
    <w:p>
      <w:pPr>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p>
    <w:p>
      <w:pPr>
        <w:pStyle w:val="2"/>
        <w:keepNext/>
        <w:keepLines/>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Chars="0" w:right="0" w:rightChars="0"/>
        <w:jc w:val="both"/>
        <w:textAlignment w:val="auto"/>
        <w:outlineLvl w:val="0"/>
        <w:rPr>
          <w:rFonts w:hint="eastAsia" w:ascii="仿宋" w:hAnsi="仿宋" w:eastAsia="仿宋" w:cs="仿宋"/>
          <w:b w:val="0"/>
          <w:bCs/>
          <w:sz w:val="30"/>
          <w:szCs w:val="30"/>
          <w:lang w:val="en-US" w:eastAsia="zh-CN"/>
        </w:rPr>
      </w:pPr>
    </w:p>
    <w:p>
      <w:pPr>
        <w:pStyle w:val="2"/>
        <w:keepNext/>
        <w:keepLines/>
        <w:pageBreakBefore w:val="0"/>
        <w:widowControl w:val="0"/>
        <w:numPr>
          <w:ilvl w:val="0"/>
          <w:numId w:val="1"/>
        </w:numPr>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0"/>
        <w:rPr>
          <w:rFonts w:hint="eastAsia" w:ascii="黑体" w:hAnsi="黑体" w:eastAsia="黑体" w:cs="黑体"/>
          <w:b w:val="0"/>
          <w:bCs/>
          <w:sz w:val="30"/>
          <w:szCs w:val="30"/>
          <w:lang w:val="en-US" w:eastAsia="zh-CN"/>
        </w:rPr>
      </w:pPr>
      <w:bookmarkStart w:id="20" w:name="_Toc9179"/>
      <w:r>
        <w:rPr>
          <w:rFonts w:hint="eastAsia" w:ascii="黑体" w:hAnsi="黑体" w:eastAsia="黑体" w:cs="黑体"/>
          <w:b w:val="0"/>
          <w:bCs/>
          <w:sz w:val="30"/>
          <w:szCs w:val="30"/>
          <w:lang w:val="en-US" w:eastAsia="zh-CN"/>
        </w:rPr>
        <w:t>北美校友会助学金</w:t>
      </w:r>
      <w:bookmarkEnd w:id="20"/>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项目号：</w:t>
      </w:r>
      <w:r>
        <w:rPr>
          <w:rFonts w:hint="eastAsia" w:ascii="仿宋" w:hAnsi="仿宋" w:eastAsia="仿宋" w:cs="仿宋"/>
          <w:b w:val="0"/>
          <w:bCs w:val="0"/>
          <w:sz w:val="28"/>
          <w:szCs w:val="28"/>
          <w:lang w:val="en-US" w:eastAsia="zh-CN"/>
        </w:rPr>
        <w:t>99010093</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捐赠方：</w:t>
      </w:r>
      <w:r>
        <w:rPr>
          <w:rFonts w:hint="eastAsia" w:ascii="仿宋" w:hAnsi="仿宋" w:eastAsia="仿宋" w:cs="仿宋"/>
          <w:sz w:val="28"/>
          <w:szCs w:val="28"/>
        </w:rPr>
        <w:t>交通大学美洲校友基金会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评选范围：</w:t>
      </w:r>
      <w:r>
        <w:rPr>
          <w:rFonts w:hint="eastAsia" w:ascii="仿宋" w:hAnsi="仿宋" w:eastAsia="仿宋" w:cs="仿宋"/>
          <w:sz w:val="28"/>
          <w:szCs w:val="28"/>
        </w:rPr>
        <w:t>北京交通大学品学兼优、家庭经济困难的优秀学生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名额及金额：</w:t>
      </w:r>
      <w:r>
        <w:rPr>
          <w:rFonts w:hint="eastAsia" w:ascii="仿宋" w:hAnsi="仿宋" w:eastAsia="仿宋" w:cs="仿宋"/>
          <w:b w:val="0"/>
          <w:bCs w:val="0"/>
          <w:sz w:val="28"/>
          <w:szCs w:val="28"/>
          <w:lang w:val="en-US" w:eastAsia="zh-CN"/>
        </w:rPr>
        <w:t>平均成绩绩点B以上，大一新生1人，加之原评选的3人，共4人，资助到其毕业，1000美元</w:t>
      </w:r>
      <w:r>
        <w:rPr>
          <w:rFonts w:hint="eastAsia" w:ascii="仿宋" w:hAnsi="仿宋" w:eastAsia="仿宋" w:cs="仿宋"/>
          <w:sz w:val="28"/>
          <w:szCs w:val="28"/>
          <w:lang w:val="en-US" w:eastAsia="zh-CN"/>
        </w:rPr>
        <w:t>/人˙年</w:t>
      </w:r>
      <w:r>
        <w:rPr>
          <w:rFonts w:hint="eastAsia" w:ascii="仿宋" w:hAnsi="仿宋" w:eastAsia="仿宋" w:cs="仿宋"/>
          <w:b w:val="0"/>
          <w:bCs w:val="0"/>
          <w:sz w:val="28"/>
          <w:szCs w:val="28"/>
          <w:lang w:val="en-US" w:eastAsia="zh-CN"/>
        </w:rPr>
        <w:t>，分2次发放。</w:t>
      </w:r>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 w:hAnsi="仿宋" w:eastAsia="仿宋" w:cs="仿宋"/>
          <w:b/>
          <w:bCs/>
          <w:sz w:val="28"/>
          <w:szCs w:val="28"/>
          <w:lang w:val="en-US" w:eastAsia="zh-CN"/>
        </w:rPr>
      </w:pPr>
    </w:p>
    <w:p>
      <w:pPr>
        <w:pStyle w:val="2"/>
        <w:keepNext/>
        <w:keepLines/>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Chars="0" w:right="0" w:rightChars="0"/>
        <w:jc w:val="both"/>
        <w:textAlignment w:val="auto"/>
        <w:outlineLvl w:val="0"/>
        <w:rPr>
          <w:rFonts w:hint="eastAsia" w:ascii="仿宋" w:hAnsi="仿宋" w:eastAsia="仿宋" w:cs="仿宋"/>
          <w:b w:val="0"/>
          <w:bCs/>
          <w:sz w:val="30"/>
          <w:szCs w:val="30"/>
          <w:lang w:val="en-US" w:eastAsia="zh-CN"/>
        </w:rPr>
      </w:pPr>
    </w:p>
    <w:p>
      <w:pPr>
        <w:pStyle w:val="2"/>
        <w:keepNext/>
        <w:keepLines/>
        <w:pageBreakBefore w:val="0"/>
        <w:widowControl w:val="0"/>
        <w:numPr>
          <w:ilvl w:val="0"/>
          <w:numId w:val="1"/>
        </w:numPr>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0"/>
        <w:rPr>
          <w:rFonts w:hint="eastAsia" w:ascii="黑体" w:hAnsi="黑体" w:eastAsia="黑体" w:cs="黑体"/>
          <w:b w:val="0"/>
          <w:bCs/>
          <w:sz w:val="30"/>
          <w:szCs w:val="30"/>
          <w:lang w:val="en-US" w:eastAsia="zh-CN"/>
        </w:rPr>
      </w:pPr>
      <w:bookmarkStart w:id="21" w:name="_Toc1873"/>
      <w:r>
        <w:rPr>
          <w:rFonts w:hint="eastAsia" w:ascii="黑体" w:hAnsi="黑体" w:eastAsia="黑体" w:cs="黑体"/>
          <w:b w:val="0"/>
          <w:bCs/>
          <w:sz w:val="30"/>
          <w:szCs w:val="30"/>
          <w:lang w:val="en-US" w:eastAsia="zh-CN"/>
        </w:rPr>
        <w:t>龙图卓越奖学金</w:t>
      </w:r>
      <w:bookmarkEnd w:id="21"/>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项目号：</w:t>
      </w:r>
      <w:r>
        <w:rPr>
          <w:rFonts w:hint="eastAsia" w:ascii="仿宋" w:hAnsi="仿宋" w:eastAsia="仿宋" w:cs="仿宋"/>
          <w:b w:val="0"/>
          <w:bCs w:val="0"/>
          <w:sz w:val="28"/>
          <w:szCs w:val="28"/>
          <w:lang w:val="en-US" w:eastAsia="zh-CN"/>
        </w:rPr>
        <w:t>22070088</w:t>
      </w:r>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捐赠方：</w:t>
      </w:r>
      <w:r>
        <w:rPr>
          <w:rFonts w:hint="eastAsia" w:ascii="仿宋" w:hAnsi="仿宋" w:eastAsia="仿宋" w:cs="仿宋"/>
          <w:sz w:val="28"/>
          <w:szCs w:val="28"/>
        </w:rPr>
        <w:t>北京万海龙图教育咨询有限公司</w:t>
      </w:r>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评选范围：</w:t>
      </w:r>
      <w:r>
        <w:rPr>
          <w:rFonts w:hint="eastAsia" w:ascii="仿宋" w:hAnsi="仿宋" w:eastAsia="仿宋" w:cs="仿宋"/>
          <w:b w:val="0"/>
          <w:bCs w:val="0"/>
          <w:sz w:val="28"/>
          <w:szCs w:val="28"/>
          <w:lang w:val="en-US" w:eastAsia="zh-CN"/>
        </w:rPr>
        <w:t>北京交通大学法学院全日制二年级本科生和研究生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b/>
          <w:bCs/>
          <w:sz w:val="28"/>
          <w:szCs w:val="28"/>
          <w:lang w:val="en-US" w:eastAsia="zh-CN"/>
        </w:rPr>
        <w:t>名额及金额：</w:t>
      </w:r>
      <w:r>
        <w:rPr>
          <w:rFonts w:hint="eastAsia" w:ascii="仿宋" w:hAnsi="仿宋" w:eastAsia="仿宋" w:cs="仿宋"/>
          <w:sz w:val="28"/>
          <w:szCs w:val="28"/>
        </w:rPr>
        <w:t>一等奖：</w:t>
      </w:r>
      <w:r>
        <w:rPr>
          <w:rFonts w:hint="eastAsia" w:ascii="仿宋" w:hAnsi="仿宋" w:eastAsia="仿宋" w:cs="仿宋"/>
          <w:sz w:val="28"/>
          <w:szCs w:val="28"/>
          <w:lang w:val="en-US" w:eastAsia="zh-CN"/>
        </w:rPr>
        <w:t>共8人</w:t>
      </w:r>
      <w:r>
        <w:rPr>
          <w:rFonts w:hint="eastAsia" w:ascii="仿宋" w:hAnsi="仿宋" w:eastAsia="仿宋" w:cs="仿宋"/>
          <w:sz w:val="28"/>
          <w:szCs w:val="28"/>
        </w:rPr>
        <w:t>，</w:t>
      </w:r>
      <w:r>
        <w:rPr>
          <w:rFonts w:hint="eastAsia" w:ascii="仿宋" w:hAnsi="仿宋" w:eastAsia="仿宋" w:cs="仿宋"/>
          <w:sz w:val="28"/>
          <w:szCs w:val="28"/>
          <w:lang w:val="en-US" w:eastAsia="zh-CN"/>
        </w:rPr>
        <w:t>其中3名一等奖，</w:t>
      </w:r>
      <w:r>
        <w:rPr>
          <w:rFonts w:hint="eastAsia" w:ascii="仿宋" w:hAnsi="仿宋" w:eastAsia="仿宋" w:cs="仿宋"/>
          <w:sz w:val="28"/>
          <w:szCs w:val="28"/>
        </w:rPr>
        <w:t>6000</w:t>
      </w:r>
      <w:r>
        <w:rPr>
          <w:rFonts w:hint="eastAsia" w:ascii="仿宋" w:hAnsi="仿宋" w:eastAsia="仿宋" w:cs="仿宋"/>
          <w:sz w:val="28"/>
          <w:szCs w:val="28"/>
          <w:lang w:val="en-US" w:eastAsia="zh-CN"/>
        </w:rPr>
        <w:t>元/人˙年，5名</w:t>
      </w:r>
      <w:r>
        <w:rPr>
          <w:rFonts w:hint="eastAsia" w:ascii="仿宋" w:hAnsi="仿宋" w:eastAsia="仿宋" w:cs="仿宋"/>
          <w:sz w:val="28"/>
          <w:szCs w:val="28"/>
        </w:rPr>
        <w:t>二等奖，4000</w:t>
      </w:r>
      <w:r>
        <w:rPr>
          <w:rFonts w:hint="eastAsia" w:ascii="仿宋" w:hAnsi="仿宋" w:eastAsia="仿宋" w:cs="仿宋"/>
          <w:sz w:val="28"/>
          <w:szCs w:val="28"/>
          <w:lang w:val="en-US" w:eastAsia="zh-CN"/>
        </w:rPr>
        <w:t>元/人˙年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评选条件：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龙图卓越奖学金仅限本科二年级、研究生二年级学生申请。申请者必须满足学校关于专项奖学金评选的基本条件，研究生申请龙图卓越奖学金还需在学校“慧光杯”或学院“明法杯”论文竞赛中获三等奖及以上或者公开发表一篇学术论文（以学院认定的学术期刊为准）。</w:t>
      </w:r>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 w:hAnsi="仿宋" w:eastAsia="仿宋" w:cs="仿宋"/>
          <w:b/>
          <w:bCs/>
          <w:sz w:val="28"/>
          <w:szCs w:val="28"/>
          <w:lang w:val="en-US" w:eastAsia="zh-CN"/>
        </w:rPr>
      </w:pPr>
    </w:p>
    <w:p>
      <w:pPr>
        <w:pStyle w:val="2"/>
        <w:keepNext/>
        <w:keepLines/>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Chars="0" w:right="0" w:rightChars="0"/>
        <w:jc w:val="both"/>
        <w:textAlignment w:val="auto"/>
        <w:outlineLvl w:val="0"/>
        <w:rPr>
          <w:rFonts w:hint="eastAsia" w:ascii="仿宋" w:hAnsi="仿宋" w:eastAsia="仿宋" w:cs="仿宋"/>
          <w:b w:val="0"/>
          <w:bCs/>
          <w:sz w:val="30"/>
          <w:szCs w:val="30"/>
          <w:lang w:val="en-US" w:eastAsia="zh-CN"/>
        </w:rPr>
      </w:pPr>
    </w:p>
    <w:p>
      <w:pPr>
        <w:pStyle w:val="2"/>
        <w:keepNext/>
        <w:keepLines/>
        <w:pageBreakBefore w:val="0"/>
        <w:widowControl w:val="0"/>
        <w:numPr>
          <w:ilvl w:val="0"/>
          <w:numId w:val="1"/>
        </w:numPr>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0"/>
        <w:rPr>
          <w:rFonts w:hint="eastAsia" w:ascii="黑体" w:hAnsi="黑体" w:eastAsia="黑体" w:cs="黑体"/>
          <w:b w:val="0"/>
          <w:bCs/>
          <w:sz w:val="30"/>
          <w:szCs w:val="30"/>
          <w:lang w:val="en-US" w:eastAsia="zh-CN"/>
        </w:rPr>
      </w:pPr>
      <w:bookmarkStart w:id="22" w:name="_Toc17667"/>
      <w:r>
        <w:rPr>
          <w:rFonts w:hint="eastAsia" w:ascii="黑体" w:hAnsi="黑体" w:eastAsia="黑体" w:cs="黑体"/>
          <w:b w:val="0"/>
          <w:bCs/>
          <w:sz w:val="30"/>
          <w:szCs w:val="30"/>
          <w:lang w:val="en-US" w:eastAsia="zh-CN"/>
        </w:rPr>
        <w:t>地方校友会助学金</w:t>
      </w:r>
      <w:bookmarkEnd w:id="22"/>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项目号：</w:t>
      </w:r>
      <w:r>
        <w:rPr>
          <w:rFonts w:hint="eastAsia" w:ascii="仿宋" w:hAnsi="仿宋" w:eastAsia="仿宋" w:cs="仿宋"/>
          <w:b w:val="0"/>
          <w:bCs w:val="0"/>
          <w:sz w:val="28"/>
          <w:szCs w:val="28"/>
          <w:lang w:val="en-US" w:eastAsia="zh-CN"/>
        </w:rPr>
        <w:t>99010111</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捐赠方：</w:t>
      </w:r>
      <w:r>
        <w:rPr>
          <w:rFonts w:hint="eastAsia" w:ascii="仿宋" w:hAnsi="仿宋" w:eastAsia="仿宋" w:cs="仿宋"/>
          <w:sz w:val="28"/>
          <w:szCs w:val="28"/>
        </w:rPr>
        <w:t>郑州路网科技有限公司</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szCs w:val="28"/>
        </w:rPr>
      </w:pPr>
      <w:r>
        <w:rPr>
          <w:rFonts w:hint="eastAsia" w:ascii="仿宋" w:hAnsi="仿宋" w:eastAsia="仿宋" w:cs="仿宋"/>
          <w:b/>
          <w:bCs/>
          <w:sz w:val="28"/>
          <w:szCs w:val="28"/>
          <w:lang w:val="en-US" w:eastAsia="zh-CN"/>
        </w:rPr>
        <w:t>评选范围：</w:t>
      </w:r>
      <w:r>
        <w:rPr>
          <w:rFonts w:hint="eastAsia" w:ascii="仿宋" w:hAnsi="仿宋" w:eastAsia="仿宋" w:cs="仿宋"/>
          <w:sz w:val="28"/>
          <w:szCs w:val="28"/>
        </w:rPr>
        <w:t>北京交通大学品学兼优且家庭经济困难的全日制本科生。</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28"/>
          <w:szCs w:val="28"/>
        </w:rPr>
      </w:pPr>
      <w:r>
        <w:rPr>
          <w:rFonts w:hint="eastAsia" w:ascii="仿宋" w:hAnsi="仿宋" w:eastAsia="仿宋" w:cs="仿宋"/>
          <w:b/>
          <w:bCs/>
          <w:sz w:val="28"/>
          <w:szCs w:val="28"/>
          <w:lang w:val="en-US" w:eastAsia="zh-CN"/>
        </w:rPr>
        <w:t>名额及金额：</w:t>
      </w:r>
      <w:r>
        <w:rPr>
          <w:rFonts w:hint="eastAsia" w:ascii="仿宋" w:hAnsi="仿宋" w:eastAsia="仿宋" w:cs="仿宋"/>
          <w:sz w:val="28"/>
          <w:szCs w:val="28"/>
          <w:lang w:val="en-US" w:eastAsia="zh-CN"/>
        </w:rPr>
        <w:t>共</w:t>
      </w:r>
      <w:r>
        <w:rPr>
          <w:rFonts w:hint="eastAsia" w:ascii="仿宋" w:hAnsi="仿宋" w:eastAsia="仿宋" w:cs="仿宋"/>
          <w:sz w:val="28"/>
          <w:szCs w:val="28"/>
        </w:rPr>
        <w:t>5人，4000元</w:t>
      </w:r>
      <w:r>
        <w:rPr>
          <w:rFonts w:hint="eastAsia" w:ascii="仿宋" w:hAnsi="仿宋" w:eastAsia="仿宋" w:cs="仿宋"/>
          <w:sz w:val="28"/>
          <w:szCs w:val="28"/>
          <w:lang w:val="en-US" w:eastAsia="zh-CN"/>
        </w:rPr>
        <w:t>/人˙年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评选条件：</w:t>
      </w:r>
    </w:p>
    <w:p>
      <w:pPr>
        <w:keepNext w:val="0"/>
        <w:keepLines w:val="0"/>
        <w:pageBreakBefore w:val="0"/>
        <w:widowControl w:val="0"/>
        <w:numPr>
          <w:ilvl w:val="0"/>
          <w:numId w:val="45"/>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热爱祖国，拥护中国共产党，自觉践行社会主义荣辱观和高等学校学生行为准则；</w:t>
      </w:r>
    </w:p>
    <w:p>
      <w:pPr>
        <w:keepNext w:val="0"/>
        <w:keepLines w:val="0"/>
        <w:pageBreakBefore w:val="0"/>
        <w:widowControl w:val="0"/>
        <w:numPr>
          <w:ilvl w:val="0"/>
          <w:numId w:val="45"/>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遵守国家法律法规和校规校纪，品行端正，无违法违纪行为； </w:t>
      </w:r>
    </w:p>
    <w:p>
      <w:pPr>
        <w:keepNext w:val="0"/>
        <w:keepLines w:val="0"/>
        <w:pageBreakBefore w:val="0"/>
        <w:widowControl w:val="0"/>
        <w:numPr>
          <w:ilvl w:val="0"/>
          <w:numId w:val="45"/>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学年学习成绩居专业人数前30%，学生思想测评成绩（2016级开始采用基本行为、基本道德评价体系）居专业人数前50%；</w:t>
      </w:r>
    </w:p>
    <w:p>
      <w:pPr>
        <w:keepNext w:val="0"/>
        <w:keepLines w:val="0"/>
        <w:pageBreakBefore w:val="0"/>
        <w:widowControl w:val="0"/>
        <w:numPr>
          <w:ilvl w:val="0"/>
          <w:numId w:val="45"/>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学生创业者，在某一领域有创新或发明创造者，在全国、省市、校级各类竞赛中获奖者，在社会组织或学校院系班级组织或社团中担任职务活动成绩突出者，荣获校级及以上三好学生或优秀学生干部称号者优先；</w:t>
      </w:r>
    </w:p>
    <w:p>
      <w:pPr>
        <w:keepNext w:val="0"/>
        <w:keepLines w:val="0"/>
        <w:pageBreakBefore w:val="0"/>
        <w:widowControl w:val="0"/>
        <w:numPr>
          <w:ilvl w:val="0"/>
          <w:numId w:val="45"/>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符合北京交通大学专项助学金其他评选基本条件。</w:t>
      </w:r>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 w:hAnsi="仿宋" w:eastAsia="仿宋" w:cs="仿宋"/>
          <w:b/>
          <w:bCs/>
          <w:sz w:val="28"/>
          <w:szCs w:val="28"/>
          <w:lang w:val="en-US" w:eastAsia="zh-CN"/>
        </w:rPr>
      </w:pPr>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 w:hAnsi="仿宋" w:eastAsia="仿宋" w:cs="仿宋"/>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28"/>
          <w:szCs w:val="28"/>
        </w:rPr>
      </w:pPr>
    </w:p>
    <w:p>
      <w:pPr>
        <w:pStyle w:val="2"/>
        <w:keepNext/>
        <w:keepLines/>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Chars="0" w:right="0" w:rightChars="0"/>
        <w:jc w:val="both"/>
        <w:textAlignment w:val="auto"/>
        <w:outlineLvl w:val="0"/>
        <w:rPr>
          <w:rFonts w:hint="eastAsia" w:ascii="仿宋" w:hAnsi="仿宋" w:eastAsia="仿宋" w:cs="仿宋"/>
          <w:b w:val="0"/>
          <w:bCs/>
          <w:sz w:val="30"/>
          <w:szCs w:val="30"/>
          <w:lang w:val="en-US" w:eastAsia="zh-CN"/>
        </w:rPr>
      </w:pPr>
    </w:p>
    <w:p>
      <w:pPr>
        <w:pStyle w:val="2"/>
        <w:keepNext/>
        <w:keepLines/>
        <w:pageBreakBefore w:val="0"/>
        <w:widowControl w:val="0"/>
        <w:numPr>
          <w:ilvl w:val="0"/>
          <w:numId w:val="1"/>
        </w:numPr>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0"/>
        <w:rPr>
          <w:rFonts w:hint="eastAsia" w:ascii="黑体" w:hAnsi="黑体" w:eastAsia="黑体" w:cs="黑体"/>
          <w:b w:val="0"/>
          <w:bCs/>
          <w:sz w:val="30"/>
          <w:szCs w:val="30"/>
          <w:lang w:val="en-US" w:eastAsia="zh-CN"/>
        </w:rPr>
      </w:pPr>
      <w:bookmarkStart w:id="23" w:name="_Toc11164"/>
      <w:r>
        <w:rPr>
          <w:rFonts w:hint="eastAsia" w:ascii="黑体" w:hAnsi="黑体" w:eastAsia="黑体" w:cs="黑体"/>
          <w:b w:val="0"/>
          <w:bCs/>
          <w:sz w:val="30"/>
          <w:szCs w:val="30"/>
          <w:lang w:val="en-US" w:eastAsia="zh-CN"/>
        </w:rPr>
        <w:t>雁行北交大助学金</w:t>
      </w:r>
      <w:bookmarkEnd w:id="23"/>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项目号：</w:t>
      </w:r>
      <w:r>
        <w:rPr>
          <w:rFonts w:hint="eastAsia" w:ascii="仿宋" w:hAnsi="仿宋" w:eastAsia="仿宋" w:cs="仿宋"/>
          <w:b w:val="0"/>
          <w:bCs w:val="0"/>
          <w:sz w:val="28"/>
          <w:szCs w:val="28"/>
          <w:lang w:val="en-US" w:eastAsia="zh-CN"/>
        </w:rPr>
        <w:t>99010112</w:t>
      </w:r>
    </w:p>
    <w:p>
      <w:pPr>
        <w:spacing w:line="360" w:lineRule="auto"/>
        <w:rPr>
          <w:rFonts w:hint="eastAsia" w:ascii="仿宋" w:hAnsi="仿宋" w:eastAsia="仿宋" w:cs="仿宋"/>
          <w:b w:val="0"/>
          <w:bCs/>
          <w:sz w:val="28"/>
          <w:szCs w:val="28"/>
          <w:lang w:val="en-US" w:eastAsia="zh-CN"/>
        </w:rPr>
      </w:pPr>
      <w:r>
        <w:rPr>
          <w:rFonts w:hint="eastAsia" w:ascii="仿宋" w:hAnsi="仿宋" w:eastAsia="仿宋" w:cs="仿宋"/>
          <w:b/>
          <w:bCs/>
          <w:sz w:val="28"/>
          <w:szCs w:val="28"/>
          <w:lang w:val="en-US" w:eastAsia="zh-CN"/>
        </w:rPr>
        <w:t>捐赠方：</w:t>
      </w:r>
      <w:r>
        <w:rPr>
          <w:rFonts w:hint="eastAsia" w:ascii="仿宋" w:hAnsi="仿宋" w:eastAsia="仿宋" w:cs="仿宋"/>
          <w:b w:val="0"/>
          <w:bCs/>
          <w:sz w:val="28"/>
          <w:szCs w:val="28"/>
        </w:rPr>
        <w:t>中国社会福利基金会</w:t>
      </w:r>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评选范围：</w:t>
      </w:r>
      <w:r>
        <w:rPr>
          <w:rFonts w:hint="eastAsia" w:ascii="仿宋" w:hAnsi="仿宋" w:eastAsia="仿宋" w:cs="仿宋"/>
          <w:b w:val="0"/>
          <w:bCs w:val="0"/>
          <w:sz w:val="28"/>
          <w:szCs w:val="28"/>
          <w:lang w:val="en-US" w:eastAsia="zh-CN"/>
        </w:rPr>
        <w:t>家庭经济困难、品学兼优的全日制在校大一新生</w:t>
      </w:r>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名额及金额：</w:t>
      </w:r>
      <w:r>
        <w:rPr>
          <w:rFonts w:hint="eastAsia" w:ascii="仿宋" w:hAnsi="仿宋" w:eastAsia="仿宋" w:cs="仿宋"/>
          <w:b w:val="0"/>
          <w:bCs w:val="0"/>
          <w:sz w:val="28"/>
          <w:szCs w:val="28"/>
          <w:lang w:val="en-US" w:eastAsia="zh-CN"/>
        </w:rPr>
        <w:t>共31人，3200元/人˙年</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28"/>
          <w:szCs w:val="28"/>
        </w:rPr>
      </w:pPr>
    </w:p>
    <w:p>
      <w:pPr>
        <w:pStyle w:val="2"/>
        <w:keepNext/>
        <w:keepLines/>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Chars="0" w:right="0" w:rightChars="0"/>
        <w:jc w:val="both"/>
        <w:textAlignment w:val="auto"/>
        <w:outlineLvl w:val="0"/>
        <w:rPr>
          <w:rFonts w:hint="eastAsia" w:ascii="仿宋" w:hAnsi="仿宋" w:eastAsia="仿宋" w:cs="仿宋"/>
          <w:b w:val="0"/>
          <w:bCs/>
          <w:sz w:val="30"/>
          <w:szCs w:val="30"/>
          <w:lang w:val="en-US" w:eastAsia="zh-CN"/>
        </w:rPr>
      </w:pPr>
    </w:p>
    <w:p>
      <w:pPr>
        <w:pStyle w:val="2"/>
        <w:keepNext/>
        <w:keepLines/>
        <w:pageBreakBefore w:val="0"/>
        <w:widowControl w:val="0"/>
        <w:numPr>
          <w:ilvl w:val="0"/>
          <w:numId w:val="1"/>
        </w:numPr>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0"/>
        <w:rPr>
          <w:rFonts w:hint="eastAsia" w:ascii="黑体" w:hAnsi="黑体" w:eastAsia="黑体" w:cs="黑体"/>
          <w:b w:val="0"/>
          <w:bCs/>
          <w:sz w:val="30"/>
          <w:szCs w:val="30"/>
          <w:lang w:val="en-US" w:eastAsia="zh-CN"/>
        </w:rPr>
      </w:pPr>
      <w:bookmarkStart w:id="24" w:name="_Toc20722"/>
      <w:r>
        <w:rPr>
          <w:rFonts w:hint="eastAsia" w:ascii="黑体" w:hAnsi="黑体" w:eastAsia="黑体" w:cs="黑体"/>
          <w:b w:val="0"/>
          <w:bCs/>
          <w:sz w:val="30"/>
          <w:szCs w:val="30"/>
          <w:lang w:val="en-US" w:eastAsia="zh-CN"/>
        </w:rPr>
        <w:t>交控科技教育基金</w:t>
      </w:r>
      <w:bookmarkEnd w:id="24"/>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项目号：</w:t>
      </w:r>
      <w:r>
        <w:rPr>
          <w:rFonts w:hint="eastAsia" w:ascii="仿宋" w:hAnsi="仿宋" w:eastAsia="仿宋" w:cs="仿宋"/>
          <w:b w:val="0"/>
          <w:bCs w:val="0"/>
          <w:sz w:val="28"/>
          <w:szCs w:val="28"/>
          <w:lang w:val="en-US" w:eastAsia="zh-CN"/>
        </w:rPr>
        <w:t>01010080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捐赠方：</w:t>
      </w:r>
      <w:r>
        <w:rPr>
          <w:rFonts w:hint="eastAsia" w:ascii="仿宋" w:hAnsi="仿宋" w:eastAsia="仿宋" w:cs="仿宋"/>
          <w:sz w:val="28"/>
          <w:szCs w:val="28"/>
        </w:rPr>
        <w:t>北京交控科技有限公司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b/>
          <w:bCs/>
          <w:sz w:val="28"/>
          <w:szCs w:val="28"/>
          <w:lang w:val="en-US" w:eastAsia="zh-CN"/>
        </w:rPr>
        <w:t>评选范围：</w:t>
      </w:r>
      <w:r>
        <w:rPr>
          <w:rFonts w:hint="eastAsia" w:ascii="仿宋" w:hAnsi="仿宋" w:eastAsia="仿宋" w:cs="仿宋"/>
          <w:sz w:val="28"/>
          <w:szCs w:val="28"/>
        </w:rPr>
        <w:t>北京交通大学电子信息工程学院(以下简称“</w:t>
      </w:r>
      <w:r>
        <w:rPr>
          <w:rFonts w:hint="eastAsia" w:ascii="仿宋" w:hAnsi="仿宋" w:eastAsia="仿宋" w:cs="仿宋"/>
          <w:sz w:val="28"/>
          <w:szCs w:val="28"/>
          <w:lang w:eastAsia="zh-CN"/>
        </w:rPr>
        <w:t>电子信息学院</w:t>
      </w:r>
      <w:r>
        <w:rPr>
          <w:rFonts w:hint="eastAsia" w:ascii="仿宋" w:hAnsi="仿宋" w:eastAsia="仿宋" w:cs="仿宋"/>
          <w:sz w:val="28"/>
          <w:szCs w:val="28"/>
        </w:rPr>
        <w:t>”)优秀学生奖励及学生素质教育工作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名额及金额：</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奖学金</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共</w:t>
      </w:r>
      <w:r>
        <w:rPr>
          <w:rFonts w:hint="eastAsia" w:ascii="仿宋" w:hAnsi="仿宋" w:eastAsia="仿宋" w:cs="仿宋"/>
          <w:sz w:val="28"/>
          <w:szCs w:val="28"/>
        </w:rPr>
        <w:t>16</w:t>
      </w:r>
      <w:r>
        <w:rPr>
          <w:rFonts w:hint="eastAsia" w:ascii="仿宋" w:hAnsi="仿宋" w:eastAsia="仿宋" w:cs="仿宋"/>
          <w:sz w:val="28"/>
          <w:szCs w:val="28"/>
          <w:lang w:val="en-US" w:eastAsia="zh-CN"/>
        </w:rPr>
        <w:t>人，</w:t>
      </w:r>
      <w:r>
        <w:rPr>
          <w:rFonts w:hint="eastAsia" w:ascii="仿宋" w:hAnsi="仿宋" w:eastAsia="仿宋" w:cs="仿宋"/>
          <w:sz w:val="28"/>
          <w:szCs w:val="28"/>
        </w:rPr>
        <w:t>其中本科生8人，研究生8人</w:t>
      </w:r>
      <w:r>
        <w:rPr>
          <w:rFonts w:hint="eastAsia" w:ascii="仿宋" w:hAnsi="仿宋" w:eastAsia="仿宋" w:cs="仿宋"/>
          <w:sz w:val="28"/>
          <w:szCs w:val="28"/>
          <w:lang w:eastAsia="zh-CN"/>
        </w:rPr>
        <w:t>，</w:t>
      </w:r>
      <w:r>
        <w:rPr>
          <w:rFonts w:hint="eastAsia" w:ascii="仿宋" w:hAnsi="仿宋" w:eastAsia="仿宋" w:cs="仿宋"/>
          <w:sz w:val="28"/>
          <w:szCs w:val="28"/>
        </w:rPr>
        <w:t>4000</w:t>
      </w:r>
      <w:r>
        <w:rPr>
          <w:rFonts w:hint="eastAsia" w:ascii="仿宋" w:hAnsi="仿宋" w:eastAsia="仿宋" w:cs="仿宋"/>
          <w:sz w:val="28"/>
          <w:szCs w:val="28"/>
          <w:lang w:val="en-US" w:eastAsia="zh-CN"/>
        </w:rPr>
        <w:t>元/人˙年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rPr>
        <w:t>交控助学金</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共</w:t>
      </w:r>
      <w:r>
        <w:rPr>
          <w:rFonts w:hint="eastAsia" w:ascii="仿宋" w:hAnsi="仿宋" w:eastAsia="仿宋" w:cs="仿宋"/>
          <w:sz w:val="28"/>
          <w:szCs w:val="28"/>
        </w:rPr>
        <w:t>10</w:t>
      </w:r>
      <w:r>
        <w:rPr>
          <w:rFonts w:hint="eastAsia" w:ascii="仿宋" w:hAnsi="仿宋" w:eastAsia="仿宋" w:cs="仿宋"/>
          <w:sz w:val="28"/>
          <w:szCs w:val="28"/>
          <w:lang w:val="en-US" w:eastAsia="zh-CN"/>
        </w:rPr>
        <w:t>人，其</w:t>
      </w:r>
      <w:r>
        <w:rPr>
          <w:rFonts w:hint="eastAsia" w:ascii="仿宋" w:hAnsi="仿宋" w:eastAsia="仿宋" w:cs="仿宋"/>
          <w:sz w:val="28"/>
          <w:szCs w:val="28"/>
        </w:rPr>
        <w:t>中本科生5人，研究生5人，3000</w:t>
      </w:r>
      <w:r>
        <w:rPr>
          <w:rFonts w:hint="eastAsia" w:ascii="仿宋" w:hAnsi="仿宋" w:eastAsia="仿宋" w:cs="仿宋"/>
          <w:sz w:val="28"/>
          <w:szCs w:val="28"/>
          <w:lang w:val="en-US" w:eastAsia="zh-CN"/>
        </w:rPr>
        <w:t>元/人˙年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28"/>
          <w:szCs w:val="28"/>
          <w:lang w:val="en-US" w:eastAsia="zh-CN"/>
        </w:rPr>
      </w:pPr>
    </w:p>
    <w:p>
      <w:pPr>
        <w:pStyle w:val="2"/>
        <w:keepNext/>
        <w:keepLines/>
        <w:pageBreakBefore w:val="0"/>
        <w:widowControl w:val="0"/>
        <w:numPr>
          <w:ilvl w:val="0"/>
          <w:numId w:val="1"/>
        </w:numPr>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0"/>
        <w:rPr>
          <w:rFonts w:hint="eastAsia" w:ascii="黑体" w:hAnsi="黑体" w:eastAsia="黑体" w:cs="黑体"/>
          <w:b w:val="0"/>
          <w:bCs/>
          <w:sz w:val="30"/>
          <w:szCs w:val="30"/>
          <w:lang w:val="en-US" w:eastAsia="zh-CN"/>
        </w:rPr>
      </w:pPr>
      <w:bookmarkStart w:id="25" w:name="_Toc27905"/>
      <w:r>
        <w:rPr>
          <w:rFonts w:hint="eastAsia" w:ascii="黑体" w:hAnsi="黑体" w:eastAsia="黑体" w:cs="黑体"/>
          <w:b w:val="0"/>
          <w:bCs/>
          <w:sz w:val="30"/>
          <w:szCs w:val="30"/>
          <w:lang w:val="en-US" w:eastAsia="zh-CN"/>
        </w:rPr>
        <w:t>矽创助学金</w:t>
      </w:r>
      <w:bookmarkEnd w:id="25"/>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项目号：</w:t>
      </w:r>
      <w:r>
        <w:rPr>
          <w:rFonts w:hint="eastAsia" w:ascii="仿宋" w:hAnsi="仿宋" w:eastAsia="仿宋" w:cs="仿宋"/>
          <w:b w:val="0"/>
          <w:bCs w:val="0"/>
          <w:sz w:val="28"/>
          <w:szCs w:val="28"/>
          <w:lang w:val="en-US" w:eastAsia="zh-CN"/>
        </w:rPr>
        <w:t>05010113</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捐赠方：</w:t>
      </w:r>
      <w:r>
        <w:rPr>
          <w:rFonts w:hint="eastAsia" w:ascii="仿宋" w:hAnsi="仿宋" w:eastAsia="仿宋" w:cs="仿宋"/>
          <w:b w:val="0"/>
          <w:bCs w:val="0"/>
          <w:sz w:val="28"/>
          <w:szCs w:val="28"/>
          <w:lang w:val="en-US" w:eastAsia="zh-CN"/>
        </w:rPr>
        <w:t>厦门矽创微电子科技有限公司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评选范围：</w:t>
      </w:r>
      <w:r>
        <w:rPr>
          <w:rFonts w:hint="eastAsia" w:ascii="仿宋" w:hAnsi="仿宋" w:eastAsia="仿宋" w:cs="仿宋"/>
          <w:b w:val="0"/>
          <w:bCs w:val="0"/>
          <w:sz w:val="28"/>
          <w:szCs w:val="28"/>
          <w:lang w:val="en-US" w:eastAsia="zh-CN"/>
        </w:rPr>
        <w:t>北京交通大学土建学院大一、大二年级品学兼优且家庭经济困难的全日制本科生。</w:t>
      </w:r>
    </w:p>
    <w:p>
      <w:pPr>
        <w:spacing w:line="500" w:lineRule="exact"/>
        <w:rPr>
          <w:rFonts w:hint="eastAsia"/>
          <w:szCs w:val="28"/>
        </w:rPr>
      </w:pPr>
      <w:r>
        <w:rPr>
          <w:rFonts w:hint="eastAsia" w:ascii="仿宋" w:hAnsi="仿宋" w:eastAsia="仿宋" w:cs="仿宋"/>
          <w:b/>
          <w:bCs/>
          <w:sz w:val="28"/>
          <w:szCs w:val="28"/>
          <w:lang w:val="en-US" w:eastAsia="zh-CN"/>
        </w:rPr>
        <w:t>名额及金额：</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一等助学金，每年评选4人，每人每年4000元；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二等助学金，每年评选3人，每人每年3000元。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b w:val="0"/>
          <w:bCs w:val="0"/>
          <w:sz w:val="28"/>
          <w:szCs w:val="28"/>
          <w:lang w:val="en-US" w:eastAsia="zh-CN"/>
        </w:rPr>
      </w:pPr>
    </w:p>
    <w:p>
      <w:pPr>
        <w:pStyle w:val="2"/>
        <w:keepNext/>
        <w:keepLines/>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Chars="0" w:right="0" w:rightChars="0"/>
        <w:jc w:val="both"/>
        <w:textAlignment w:val="auto"/>
        <w:outlineLvl w:val="0"/>
        <w:rPr>
          <w:rFonts w:hint="eastAsia" w:ascii="仿宋" w:hAnsi="仿宋" w:eastAsia="仿宋" w:cs="仿宋"/>
          <w:b w:val="0"/>
          <w:bCs/>
          <w:sz w:val="30"/>
          <w:szCs w:val="30"/>
          <w:lang w:val="en-US" w:eastAsia="zh-CN"/>
        </w:rPr>
      </w:pPr>
    </w:p>
    <w:p>
      <w:pPr>
        <w:pStyle w:val="2"/>
        <w:keepNext/>
        <w:keepLines/>
        <w:pageBreakBefore w:val="0"/>
        <w:widowControl w:val="0"/>
        <w:numPr>
          <w:ilvl w:val="0"/>
          <w:numId w:val="1"/>
        </w:numPr>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0"/>
        <w:rPr>
          <w:rFonts w:hint="eastAsia" w:ascii="黑体" w:hAnsi="黑体" w:eastAsia="黑体" w:cs="黑体"/>
          <w:b w:val="0"/>
          <w:bCs/>
          <w:sz w:val="30"/>
          <w:szCs w:val="30"/>
          <w:lang w:val="en-US" w:eastAsia="zh-CN"/>
        </w:rPr>
      </w:pPr>
      <w:bookmarkStart w:id="26" w:name="_Toc28237"/>
      <w:r>
        <w:rPr>
          <w:rFonts w:hint="eastAsia" w:ascii="黑体" w:hAnsi="黑体" w:eastAsia="黑体" w:cs="黑体"/>
          <w:b w:val="0"/>
          <w:bCs/>
          <w:sz w:val="30"/>
          <w:szCs w:val="30"/>
          <w:lang w:val="en-US" w:eastAsia="zh-CN"/>
        </w:rPr>
        <w:t>法学校友奖学金</w:t>
      </w:r>
      <w:bookmarkEnd w:id="26"/>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项目号：</w:t>
      </w:r>
      <w:r>
        <w:rPr>
          <w:rFonts w:hint="eastAsia" w:ascii="仿宋" w:hAnsi="仿宋" w:eastAsia="仿宋" w:cs="仿宋"/>
          <w:b w:val="0"/>
          <w:bCs w:val="0"/>
          <w:sz w:val="28"/>
          <w:szCs w:val="28"/>
          <w:lang w:val="en-US" w:eastAsia="zh-CN"/>
        </w:rPr>
        <w:t>99070042</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捐赠方：</w:t>
      </w:r>
      <w:r>
        <w:rPr>
          <w:rFonts w:hint="eastAsia" w:ascii="仿宋" w:hAnsi="仿宋" w:eastAsia="仿宋" w:cs="仿宋"/>
          <w:b w:val="0"/>
          <w:bCs w:val="0"/>
          <w:sz w:val="28"/>
          <w:szCs w:val="28"/>
          <w:lang w:val="en-US" w:eastAsia="zh-CN"/>
        </w:rPr>
        <w:t>法学院校友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评选范围：</w:t>
      </w:r>
      <w:r>
        <w:rPr>
          <w:rFonts w:hint="eastAsia" w:ascii="仿宋" w:hAnsi="仿宋" w:eastAsia="仿宋" w:cs="仿宋"/>
          <w:b w:val="0"/>
          <w:bCs w:val="0"/>
          <w:sz w:val="28"/>
          <w:szCs w:val="28"/>
          <w:lang w:val="en-US" w:eastAsia="zh-CN"/>
        </w:rPr>
        <w:t>北京交通大学法学院品学兼优全日制学生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名额及金额：</w:t>
      </w:r>
      <w:r>
        <w:rPr>
          <w:rFonts w:hint="eastAsia" w:ascii="仿宋" w:hAnsi="仿宋" w:eastAsia="仿宋" w:cs="仿宋"/>
          <w:b w:val="0"/>
          <w:bCs w:val="0"/>
          <w:sz w:val="28"/>
          <w:szCs w:val="28"/>
          <w:lang w:val="en-US" w:eastAsia="zh-CN"/>
        </w:rPr>
        <w:t>共5人，其中3名本科生，2000</w:t>
      </w:r>
      <w:r>
        <w:rPr>
          <w:rFonts w:hint="eastAsia" w:ascii="仿宋" w:hAnsi="仿宋" w:eastAsia="仿宋" w:cs="仿宋"/>
          <w:sz w:val="28"/>
          <w:szCs w:val="28"/>
          <w:lang w:val="en-US" w:eastAsia="zh-CN"/>
        </w:rPr>
        <w:t>元/人˙年，2名研究生，2000元/人˙年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评选条件：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2" w:firstLineChars="200"/>
        <w:jc w:val="both"/>
        <w:textAlignment w:val="auto"/>
        <w:outlineLvl w:val="9"/>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研究生：</w:t>
      </w:r>
    </w:p>
    <w:p>
      <w:pPr>
        <w:keepNext w:val="0"/>
        <w:keepLines w:val="0"/>
        <w:pageBreakBefore w:val="0"/>
        <w:widowControl w:val="0"/>
        <w:numPr>
          <w:ilvl w:val="0"/>
          <w:numId w:val="46"/>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热爱社会主义祖国，拥护中国共产党的领导；</w:t>
      </w:r>
    </w:p>
    <w:p>
      <w:pPr>
        <w:keepNext w:val="0"/>
        <w:keepLines w:val="0"/>
        <w:pageBreakBefore w:val="0"/>
        <w:widowControl w:val="0"/>
        <w:numPr>
          <w:ilvl w:val="0"/>
          <w:numId w:val="46"/>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遵守宪法和法律，遵守学校规章制度，在校期间无任何违纪处分记录；</w:t>
      </w:r>
    </w:p>
    <w:p>
      <w:pPr>
        <w:keepNext w:val="0"/>
        <w:keepLines w:val="0"/>
        <w:pageBreakBefore w:val="0"/>
        <w:widowControl w:val="0"/>
        <w:numPr>
          <w:ilvl w:val="0"/>
          <w:numId w:val="46"/>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诚实守信，道德品德高尚，与同学相处融洽，具有较高威信，思想行为测评排名在班级前60%；</w:t>
      </w:r>
    </w:p>
    <w:p>
      <w:pPr>
        <w:keepNext w:val="0"/>
        <w:keepLines w:val="0"/>
        <w:pageBreakBefore w:val="0"/>
        <w:widowControl w:val="0"/>
        <w:numPr>
          <w:ilvl w:val="0"/>
          <w:numId w:val="46"/>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奖学金评定上一年参加并通过国家司法考试</w:t>
      </w:r>
    </w:p>
    <w:p>
      <w:pPr>
        <w:keepNext w:val="0"/>
        <w:keepLines w:val="0"/>
        <w:pageBreakBefore w:val="0"/>
        <w:widowControl w:val="0"/>
        <w:numPr>
          <w:ilvl w:val="0"/>
          <w:numId w:val="46"/>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奖学金评定上一学年无不及格课程（包括学位课和选修课），学位课加权平均分80分以上；</w:t>
      </w:r>
    </w:p>
    <w:p>
      <w:pPr>
        <w:keepNext w:val="0"/>
        <w:keepLines w:val="0"/>
        <w:pageBreakBefore w:val="0"/>
        <w:widowControl w:val="0"/>
        <w:numPr>
          <w:ilvl w:val="0"/>
          <w:numId w:val="46"/>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在学校“慧光杯”或学院“明法杯”论文竞赛中获奖或者公开发表一篇论文以上者。</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right="0" w:rightChars="0" w:firstLine="562" w:firstLineChars="200"/>
        <w:jc w:val="both"/>
        <w:textAlignment w:val="auto"/>
        <w:outlineLvl w:val="9"/>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本科生：</w:t>
      </w:r>
    </w:p>
    <w:p>
      <w:pPr>
        <w:keepNext w:val="0"/>
        <w:keepLines w:val="0"/>
        <w:pageBreakBefore w:val="0"/>
        <w:widowControl w:val="0"/>
        <w:numPr>
          <w:ilvl w:val="0"/>
          <w:numId w:val="47"/>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热爱社会主义祖国，拥护中国共产党的领导；</w:t>
      </w:r>
    </w:p>
    <w:p>
      <w:pPr>
        <w:keepNext w:val="0"/>
        <w:keepLines w:val="0"/>
        <w:pageBreakBefore w:val="0"/>
        <w:widowControl w:val="0"/>
        <w:numPr>
          <w:ilvl w:val="0"/>
          <w:numId w:val="47"/>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遵守宪法和法律，遵守学校规章制度，在校期间无任何违纪处分记录；</w:t>
      </w:r>
    </w:p>
    <w:p>
      <w:pPr>
        <w:keepNext w:val="0"/>
        <w:keepLines w:val="0"/>
        <w:pageBreakBefore w:val="0"/>
        <w:widowControl w:val="0"/>
        <w:numPr>
          <w:ilvl w:val="0"/>
          <w:numId w:val="47"/>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诚实守信，道德品德高尚，与同学相处融洽，具有较高威信，思想行为测评排名在班级前70%；</w:t>
      </w:r>
    </w:p>
    <w:p>
      <w:pPr>
        <w:keepNext w:val="0"/>
        <w:keepLines w:val="0"/>
        <w:pageBreakBefore w:val="0"/>
        <w:widowControl w:val="0"/>
        <w:numPr>
          <w:ilvl w:val="0"/>
          <w:numId w:val="47"/>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奖学金评定上一学年学习排名在年纪前80%，且无不及格课程（包括学位课和选修课）。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评审组织机构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学院成立法学校友奖学金评审领导小组，负责制定、修订学院法学校友奖学金评审实施细则；组织专项奖学金的申请受理、资格审核、资料审查工作；统筹、协调、监督学院评审工作；研究并答复学生对评审结果的申诉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法学校友奖学金评审委员会包括法学院学位委员会成员以及法学院全体院领导</w:t>
      </w:r>
    </w:p>
    <w:p>
      <w:pPr>
        <w:rPr>
          <w:rFonts w:hint="eastAsia"/>
          <w:lang w:val="en-US" w:eastAsia="zh-CN"/>
        </w:rPr>
      </w:pPr>
    </w:p>
    <w:p>
      <w:pPr>
        <w:rPr>
          <w:rFonts w:hint="eastAsia" w:ascii="仿宋" w:hAnsi="仿宋" w:eastAsia="仿宋" w:cs="仿宋"/>
          <w:b w:val="0"/>
          <w:bCs/>
          <w:sz w:val="30"/>
          <w:szCs w:val="30"/>
          <w:lang w:val="en-US" w:eastAsia="zh-CN"/>
        </w:rPr>
      </w:pPr>
    </w:p>
    <w:p>
      <w:pPr>
        <w:rPr>
          <w:rFonts w:hint="eastAsia" w:ascii="仿宋" w:hAnsi="仿宋" w:eastAsia="仿宋" w:cs="仿宋"/>
          <w:b w:val="0"/>
          <w:bCs/>
          <w:sz w:val="30"/>
          <w:szCs w:val="30"/>
          <w:lang w:val="en-US" w:eastAsia="zh-CN"/>
        </w:rPr>
      </w:pPr>
    </w:p>
    <w:p>
      <w:pPr>
        <w:pStyle w:val="2"/>
        <w:keepNext/>
        <w:keepLines/>
        <w:pageBreakBefore w:val="0"/>
        <w:widowControl w:val="0"/>
        <w:numPr>
          <w:ilvl w:val="0"/>
          <w:numId w:val="1"/>
        </w:numPr>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0"/>
        <w:rPr>
          <w:rFonts w:hint="eastAsia" w:ascii="黑体" w:hAnsi="黑体" w:eastAsia="黑体" w:cs="黑体"/>
          <w:b w:val="0"/>
          <w:bCs/>
          <w:sz w:val="30"/>
          <w:szCs w:val="30"/>
          <w:lang w:val="en-US" w:eastAsia="zh-CN"/>
        </w:rPr>
      </w:pPr>
      <w:bookmarkStart w:id="27" w:name="_Toc15601"/>
      <w:r>
        <w:rPr>
          <w:rFonts w:hint="eastAsia" w:ascii="黑体" w:hAnsi="黑体" w:eastAsia="黑体" w:cs="黑体"/>
          <w:b w:val="0"/>
          <w:bCs/>
          <w:sz w:val="30"/>
          <w:szCs w:val="30"/>
          <w:lang w:val="en-US" w:eastAsia="zh-CN"/>
        </w:rPr>
        <w:t>和利时奖助学金</w:t>
      </w:r>
      <w:bookmarkEnd w:id="27"/>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项目号：</w:t>
      </w:r>
      <w:r>
        <w:rPr>
          <w:rFonts w:hint="eastAsia" w:ascii="仿宋" w:hAnsi="仿宋" w:eastAsia="仿宋" w:cs="仿宋"/>
          <w:b w:val="0"/>
          <w:bCs w:val="0"/>
          <w:sz w:val="28"/>
          <w:szCs w:val="28"/>
          <w:lang w:val="en-US" w:eastAsia="zh-CN"/>
        </w:rPr>
        <w:t>02010116</w:t>
      </w:r>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捐赠方：</w:t>
      </w:r>
      <w:r>
        <w:rPr>
          <w:rFonts w:hint="eastAsia" w:ascii="仿宋_GB2312" w:hAnsi="ˎ̥" w:eastAsia="仿宋_GB2312"/>
          <w:sz w:val="30"/>
          <w:szCs w:val="30"/>
        </w:rPr>
        <w:t>北京和利时系统工程有限公司</w:t>
      </w:r>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评选范围：</w:t>
      </w:r>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奖学金：计算机学院学习成绩优秀、综合素质突出的优秀学生</w:t>
      </w:r>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助学金：计算机学院品学兼优且家庭经济困难的学生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名额及金额：</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助学金：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本科生：</w:t>
      </w:r>
      <w:r>
        <w:rPr>
          <w:rFonts w:hint="eastAsia" w:ascii="仿宋" w:hAnsi="仿宋" w:eastAsia="仿宋" w:cs="仿宋"/>
          <w:sz w:val="28"/>
          <w:szCs w:val="28"/>
          <w:lang w:val="en-US" w:eastAsia="zh-CN"/>
        </w:rPr>
        <w:t>共10人，</w:t>
      </w:r>
      <w:r>
        <w:rPr>
          <w:rFonts w:hint="eastAsia" w:ascii="仿宋" w:hAnsi="仿宋" w:eastAsia="仿宋" w:cs="仿宋"/>
          <w:sz w:val="28"/>
          <w:szCs w:val="28"/>
        </w:rPr>
        <w:t>2000</w:t>
      </w:r>
      <w:r>
        <w:rPr>
          <w:rFonts w:hint="eastAsia" w:ascii="仿宋" w:hAnsi="仿宋" w:eastAsia="仿宋" w:cs="仿宋"/>
          <w:sz w:val="28"/>
          <w:szCs w:val="28"/>
          <w:lang w:val="en-US" w:eastAsia="zh-CN"/>
        </w:rPr>
        <w:t>元/人˙年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研究生：</w:t>
      </w:r>
      <w:r>
        <w:rPr>
          <w:rFonts w:hint="eastAsia" w:ascii="仿宋" w:hAnsi="仿宋" w:eastAsia="仿宋" w:cs="仿宋"/>
          <w:sz w:val="28"/>
          <w:szCs w:val="28"/>
          <w:lang w:val="en-US" w:eastAsia="zh-CN"/>
        </w:rPr>
        <w:t>共10人，</w:t>
      </w:r>
      <w:r>
        <w:rPr>
          <w:rFonts w:hint="eastAsia" w:ascii="仿宋" w:hAnsi="仿宋" w:eastAsia="仿宋" w:cs="仿宋"/>
          <w:sz w:val="28"/>
          <w:szCs w:val="28"/>
        </w:rPr>
        <w:t>2000</w:t>
      </w:r>
      <w:r>
        <w:rPr>
          <w:rFonts w:hint="eastAsia" w:ascii="仿宋" w:hAnsi="仿宋" w:eastAsia="仿宋" w:cs="仿宋"/>
          <w:sz w:val="28"/>
          <w:szCs w:val="28"/>
          <w:lang w:val="en-US" w:eastAsia="zh-CN"/>
        </w:rPr>
        <w:t>元/人˙年</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rPr>
        <w:t>奖学金</w:t>
      </w:r>
      <w:r>
        <w:rPr>
          <w:rFonts w:hint="eastAsia" w:ascii="仿宋" w:hAnsi="仿宋" w:eastAsia="仿宋" w:cs="仿宋"/>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本科生：</w:t>
      </w:r>
      <w:r>
        <w:rPr>
          <w:rFonts w:hint="eastAsia" w:ascii="仿宋" w:hAnsi="仿宋" w:eastAsia="仿宋" w:cs="仿宋"/>
          <w:sz w:val="28"/>
          <w:szCs w:val="28"/>
          <w:lang w:val="en-US" w:eastAsia="zh-CN"/>
        </w:rPr>
        <w:t>共5人，</w:t>
      </w:r>
      <w:r>
        <w:rPr>
          <w:rFonts w:hint="eastAsia" w:ascii="仿宋" w:hAnsi="仿宋" w:eastAsia="仿宋" w:cs="仿宋"/>
          <w:sz w:val="28"/>
          <w:szCs w:val="28"/>
        </w:rPr>
        <w:t>5000</w:t>
      </w:r>
      <w:r>
        <w:rPr>
          <w:rFonts w:hint="eastAsia" w:ascii="仿宋" w:hAnsi="仿宋" w:eastAsia="仿宋" w:cs="仿宋"/>
          <w:sz w:val="28"/>
          <w:szCs w:val="28"/>
          <w:lang w:val="en-US" w:eastAsia="zh-CN"/>
        </w:rPr>
        <w:t>元/人˙年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b/>
          <w:bCs/>
          <w:sz w:val="28"/>
          <w:szCs w:val="28"/>
          <w:lang w:val="en-US" w:eastAsia="zh-CN"/>
        </w:rPr>
      </w:pPr>
      <w:r>
        <w:rPr>
          <w:rFonts w:hint="eastAsia" w:ascii="仿宋" w:hAnsi="仿宋" w:eastAsia="仿宋" w:cs="仿宋"/>
          <w:sz w:val="28"/>
          <w:szCs w:val="28"/>
        </w:rPr>
        <w:t>研究生：</w:t>
      </w:r>
      <w:r>
        <w:rPr>
          <w:rFonts w:hint="eastAsia" w:ascii="仿宋" w:hAnsi="仿宋" w:eastAsia="仿宋" w:cs="仿宋"/>
          <w:sz w:val="28"/>
          <w:szCs w:val="28"/>
          <w:lang w:val="en-US" w:eastAsia="zh-CN"/>
        </w:rPr>
        <w:t>共5人，</w:t>
      </w:r>
      <w:r>
        <w:rPr>
          <w:rFonts w:hint="eastAsia" w:ascii="仿宋" w:hAnsi="仿宋" w:eastAsia="仿宋" w:cs="仿宋"/>
          <w:sz w:val="28"/>
          <w:szCs w:val="28"/>
        </w:rPr>
        <w:t>5000</w:t>
      </w:r>
      <w:r>
        <w:rPr>
          <w:rFonts w:hint="eastAsia" w:ascii="仿宋" w:hAnsi="仿宋" w:eastAsia="仿宋" w:cs="仿宋"/>
          <w:sz w:val="28"/>
          <w:szCs w:val="28"/>
          <w:lang w:val="en-US" w:eastAsia="zh-CN"/>
        </w:rPr>
        <w:t>元/人˙年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评选条件：</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助学金：</w:t>
      </w:r>
    </w:p>
    <w:p>
      <w:pPr>
        <w:keepNext w:val="0"/>
        <w:keepLines w:val="0"/>
        <w:pageBreakBefore w:val="0"/>
        <w:widowControl w:val="0"/>
        <w:numPr>
          <w:ilvl w:val="0"/>
          <w:numId w:val="48"/>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遵守国家法律法规和校纪校规，品行端正，无违法乱纪行为；</w:t>
      </w:r>
    </w:p>
    <w:p>
      <w:pPr>
        <w:keepNext w:val="0"/>
        <w:keepLines w:val="0"/>
        <w:pageBreakBefore w:val="0"/>
        <w:widowControl w:val="0"/>
        <w:numPr>
          <w:ilvl w:val="0"/>
          <w:numId w:val="48"/>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经学校认定为家庭经济困难学生；</w:t>
      </w:r>
    </w:p>
    <w:p>
      <w:pPr>
        <w:keepNext w:val="0"/>
        <w:keepLines w:val="0"/>
        <w:pageBreakBefore w:val="0"/>
        <w:widowControl w:val="0"/>
        <w:numPr>
          <w:ilvl w:val="0"/>
          <w:numId w:val="48"/>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申请学年学习成绩优良，无不及格现象且加权平均学习成绩居专业前70%，或表现出良好的科研能力并取得一定的研究成果。同等条件下，学习优秀者优先；</w:t>
      </w:r>
    </w:p>
    <w:p>
      <w:pPr>
        <w:keepNext w:val="0"/>
        <w:keepLines w:val="0"/>
        <w:pageBreakBefore w:val="0"/>
        <w:widowControl w:val="0"/>
        <w:numPr>
          <w:ilvl w:val="0"/>
          <w:numId w:val="48"/>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积极参加与学校、学院组织的各项活动，并在活动中有良好表现；</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奖学金：</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学习成绩优秀，在本专业名列前茅者可获得奖学金</w:t>
      </w:r>
      <w:r>
        <w:rPr>
          <w:rFonts w:hint="eastAsia" w:ascii="仿宋" w:hAnsi="仿宋" w:eastAsia="仿宋" w:cs="仿宋"/>
          <w:sz w:val="28"/>
          <w:szCs w:val="28"/>
          <w:lang w:eastAsia="zh-CN"/>
        </w:rPr>
        <w:t>。</w:t>
      </w:r>
    </w:p>
    <w:p>
      <w:pPr>
        <w:rPr>
          <w:rFonts w:hint="eastAsia"/>
        </w:rPr>
      </w:pPr>
    </w:p>
    <w:p>
      <w:pPr>
        <w:pStyle w:val="2"/>
        <w:keepNext/>
        <w:keepLines/>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Chars="0" w:right="0" w:rightChars="0"/>
        <w:jc w:val="both"/>
        <w:textAlignment w:val="auto"/>
        <w:outlineLvl w:val="0"/>
        <w:rPr>
          <w:rFonts w:hint="eastAsia" w:ascii="仿宋" w:hAnsi="仿宋" w:eastAsia="仿宋" w:cs="仿宋"/>
          <w:b w:val="0"/>
          <w:bCs/>
          <w:sz w:val="30"/>
          <w:szCs w:val="30"/>
          <w:lang w:val="en-US" w:eastAsia="zh-CN"/>
        </w:rPr>
      </w:pPr>
    </w:p>
    <w:p>
      <w:pPr>
        <w:pStyle w:val="2"/>
        <w:keepNext/>
        <w:keepLines/>
        <w:pageBreakBefore w:val="0"/>
        <w:widowControl w:val="0"/>
        <w:numPr>
          <w:ilvl w:val="0"/>
          <w:numId w:val="1"/>
        </w:numPr>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0"/>
        <w:rPr>
          <w:rFonts w:hint="eastAsia" w:ascii="黑体" w:hAnsi="黑体" w:eastAsia="黑体" w:cs="黑体"/>
          <w:b w:val="0"/>
          <w:bCs/>
          <w:sz w:val="30"/>
          <w:szCs w:val="30"/>
          <w:lang w:val="en-US" w:eastAsia="zh-CN"/>
        </w:rPr>
      </w:pPr>
      <w:bookmarkStart w:id="28" w:name="_Toc8349"/>
      <w:r>
        <w:rPr>
          <w:rFonts w:hint="eastAsia" w:ascii="黑体" w:hAnsi="黑体" w:eastAsia="黑体" w:cs="黑体"/>
          <w:b w:val="0"/>
          <w:bCs/>
          <w:sz w:val="30"/>
          <w:szCs w:val="30"/>
          <w:lang w:val="en-US" w:eastAsia="zh-CN"/>
        </w:rPr>
        <w:t>思爱普奖学金</w:t>
      </w:r>
      <w:bookmarkEnd w:id="28"/>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项目号：</w:t>
      </w:r>
      <w:r>
        <w:rPr>
          <w:rFonts w:hint="eastAsia" w:ascii="仿宋" w:hAnsi="仿宋" w:eastAsia="仿宋" w:cs="仿宋"/>
          <w:b w:val="0"/>
          <w:bCs w:val="0"/>
          <w:sz w:val="28"/>
          <w:szCs w:val="28"/>
          <w:lang w:val="en-US" w:eastAsia="zh-CN"/>
        </w:rPr>
        <w:t>02010102</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捐赠方：</w:t>
      </w:r>
      <w:r>
        <w:rPr>
          <w:rFonts w:hint="eastAsia" w:ascii="仿宋" w:hAnsi="仿宋" w:eastAsia="仿宋" w:cs="仿宋"/>
          <w:sz w:val="28"/>
          <w:szCs w:val="28"/>
        </w:rPr>
        <w:t>思爱普(北京)软件系统有限公司</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评选范围：</w:t>
      </w:r>
      <w:r>
        <w:rPr>
          <w:rFonts w:hint="eastAsia" w:ascii="仿宋" w:hAnsi="仿宋" w:eastAsia="仿宋" w:cs="仿宋"/>
          <w:sz w:val="28"/>
          <w:szCs w:val="28"/>
        </w:rPr>
        <w:t>北京交大计算机与信息技术学院综合素质突出, 有一定创新能力, 与思爱普相关课程或项目有关的全日制在读研究生。</w:t>
      </w:r>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 w:hAnsi="仿宋" w:eastAsia="仿宋" w:cs="仿宋"/>
          <w:sz w:val="28"/>
          <w:szCs w:val="28"/>
        </w:rPr>
      </w:pPr>
      <w:r>
        <w:rPr>
          <w:rFonts w:hint="eastAsia" w:ascii="仿宋" w:hAnsi="仿宋" w:eastAsia="仿宋" w:cs="仿宋"/>
          <w:b/>
          <w:bCs/>
          <w:sz w:val="28"/>
          <w:szCs w:val="28"/>
          <w:lang w:val="en-US" w:eastAsia="zh-CN"/>
        </w:rPr>
        <w:t>名额及金额：</w:t>
      </w:r>
      <w:r>
        <w:rPr>
          <w:rFonts w:hint="eastAsia" w:ascii="仿宋" w:hAnsi="仿宋" w:eastAsia="仿宋" w:cs="仿宋"/>
          <w:sz w:val="28"/>
          <w:szCs w:val="28"/>
          <w:lang w:val="en-US" w:eastAsia="zh-CN"/>
        </w:rPr>
        <w:t>共2人，</w:t>
      </w:r>
      <w:r>
        <w:rPr>
          <w:rFonts w:hint="eastAsia" w:ascii="仿宋" w:hAnsi="仿宋" w:eastAsia="仿宋" w:cs="仿宋"/>
          <w:sz w:val="28"/>
          <w:szCs w:val="28"/>
        </w:rPr>
        <w:t>5000</w:t>
      </w:r>
      <w:r>
        <w:rPr>
          <w:rFonts w:hint="eastAsia" w:ascii="仿宋" w:hAnsi="仿宋" w:eastAsia="仿宋" w:cs="仿宋"/>
          <w:sz w:val="28"/>
          <w:szCs w:val="28"/>
          <w:lang w:val="en-US" w:eastAsia="zh-CN"/>
        </w:rPr>
        <w:t>元/人˙年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评选条件：</w:t>
      </w:r>
    </w:p>
    <w:p>
      <w:pPr>
        <w:keepNext w:val="0"/>
        <w:keepLines w:val="0"/>
        <w:pageBreakBefore w:val="0"/>
        <w:widowControl w:val="0"/>
        <w:numPr>
          <w:ilvl w:val="0"/>
          <w:numId w:val="49"/>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具有较高的综合素质和创新能力潜质,具备较强的科研能力 </w:t>
      </w:r>
    </w:p>
    <w:p>
      <w:pPr>
        <w:keepNext w:val="0"/>
        <w:keepLines w:val="0"/>
        <w:pageBreakBefore w:val="0"/>
        <w:widowControl w:val="0"/>
        <w:numPr>
          <w:ilvl w:val="0"/>
          <w:numId w:val="49"/>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致力子与思爱普相关的课程/项目的学习或研究</w:t>
      </w:r>
    </w:p>
    <w:p>
      <w:pPr>
        <w:keepNext w:val="0"/>
        <w:keepLines w:val="0"/>
        <w:pageBreakBefore w:val="0"/>
        <w:widowControl w:val="0"/>
        <w:numPr>
          <w:ilvl w:val="0"/>
          <w:numId w:val="49"/>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同等情况下,参加 SAP AGs大学合作项目课程的同学优先参评;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Microsoft Himalaya"/>
          <w:b/>
          <w:bCs/>
          <w:sz w:val="28"/>
          <w:szCs w:val="28"/>
          <w:lang w:eastAsia="zh-CN" w:bidi="bo-CN"/>
        </w:rPr>
      </w:pPr>
      <w:r>
        <w:rPr>
          <w:rFonts w:hint="eastAsia" w:ascii="仿宋" w:hAnsi="仿宋" w:eastAsia="仿宋" w:cs="仿宋"/>
          <w:b/>
          <w:bCs/>
          <w:sz w:val="28"/>
          <w:szCs w:val="28"/>
        </w:rPr>
        <w:t>评审办法</w:t>
      </w:r>
      <w:r>
        <w:rPr>
          <w:rFonts w:hint="eastAsia" w:ascii="仿宋" w:hAnsi="仿宋" w:eastAsia="仿宋" w:cs="仿宋"/>
          <w:b/>
          <w:bCs/>
          <w:sz w:val="28"/>
          <w:szCs w:val="28"/>
          <w:lang w:eastAsia="zh-CN"/>
        </w:rPr>
        <w:t>：</w:t>
      </w:r>
    </w:p>
    <w:p>
      <w:pPr>
        <w:keepNext w:val="0"/>
        <w:keepLines w:val="0"/>
        <w:pageBreakBefore w:val="0"/>
        <w:widowControl w:val="0"/>
        <w:numPr>
          <w:ilvl w:val="0"/>
          <w:numId w:val="50"/>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奖学金每学年评审一次。在每年9月,在学生上一学年考核的基础上,具有参评资格的优秀学生,根据评选条件采取自荐与学院推荐相结合的方式填写有关资料, 由班主任推荐交至所在学院,学院评审小组根据评选条件进行初审,提出推荐名単,并以一定方式在学院</w:t>
      </w:r>
    </w:p>
    <w:p>
      <w:pPr>
        <w:keepNext w:val="0"/>
        <w:keepLines w:val="0"/>
        <w:pageBreakBefore w:val="0"/>
        <w:widowControl w:val="0"/>
        <w:numPr>
          <w:ilvl w:val="0"/>
          <w:numId w:val="50"/>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进行公示;公示后,学院将最终推荐名单报至研究生工作部。</w:t>
      </w:r>
    </w:p>
    <w:p>
      <w:pPr>
        <w:keepNext w:val="0"/>
        <w:keepLines w:val="0"/>
        <w:pageBreakBefore w:val="0"/>
        <w:widowControl w:val="0"/>
        <w:numPr>
          <w:ilvl w:val="0"/>
          <w:numId w:val="50"/>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研究生工作部对学院推荐名单进行复审,提出获奖人员建议名单。                </w:t>
      </w:r>
    </w:p>
    <w:p>
      <w:pPr>
        <w:keepNext w:val="0"/>
        <w:keepLines w:val="0"/>
        <w:pageBreakBefore w:val="0"/>
        <w:widowControl w:val="0"/>
        <w:numPr>
          <w:ilvl w:val="0"/>
          <w:numId w:val="50"/>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北京交大方面应於每年9月底将推荐者名单和推荐信提交思爱普相关负责人审核, 思爱普于一周内确定最终获奖名単, 思爱普相关负责人拥有获奖名单的最终决策权。</w:t>
      </w:r>
    </w:p>
    <w:p>
      <w:pPr>
        <w:keepNext w:val="0"/>
        <w:keepLines w:val="0"/>
        <w:pageBreakBefore w:val="0"/>
        <w:widowControl w:val="0"/>
        <w:numPr>
          <w:ilvl w:val="0"/>
          <w:numId w:val="50"/>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每年1o月份,学校择期邀请思爱普相关领导出席“思爱普奖学金基金”颁奖仪式。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b/>
          <w:bCs/>
          <w:sz w:val="28"/>
          <w:szCs w:val="28"/>
          <w:lang w:val="en-US" w:eastAsia="zh-CN"/>
        </w:rPr>
      </w:pPr>
    </w:p>
    <w:p>
      <w:pPr>
        <w:pStyle w:val="2"/>
        <w:keepNext/>
        <w:keepLines/>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Chars="0" w:right="0" w:rightChars="0"/>
        <w:jc w:val="both"/>
        <w:textAlignment w:val="auto"/>
        <w:outlineLvl w:val="0"/>
        <w:rPr>
          <w:rFonts w:hint="eastAsia" w:ascii="仿宋" w:hAnsi="仿宋" w:eastAsia="仿宋" w:cs="仿宋"/>
          <w:b w:val="0"/>
          <w:bCs/>
          <w:sz w:val="30"/>
          <w:szCs w:val="30"/>
          <w:lang w:val="en-US" w:eastAsia="zh-CN"/>
        </w:rPr>
      </w:pPr>
    </w:p>
    <w:p>
      <w:pPr>
        <w:pStyle w:val="2"/>
        <w:keepNext/>
        <w:keepLines/>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Chars="0" w:right="0" w:rightChars="0"/>
        <w:jc w:val="both"/>
        <w:textAlignment w:val="auto"/>
        <w:outlineLvl w:val="0"/>
        <w:rPr>
          <w:rFonts w:hint="eastAsia" w:ascii="仿宋" w:hAnsi="仿宋" w:eastAsia="仿宋" w:cs="仿宋"/>
          <w:b w:val="0"/>
          <w:bCs/>
          <w:sz w:val="30"/>
          <w:szCs w:val="30"/>
          <w:lang w:val="en-US" w:eastAsia="zh-CN"/>
        </w:rPr>
      </w:pPr>
    </w:p>
    <w:p>
      <w:pPr>
        <w:pStyle w:val="2"/>
        <w:keepNext/>
        <w:keepLines/>
        <w:pageBreakBefore w:val="0"/>
        <w:widowControl w:val="0"/>
        <w:numPr>
          <w:ilvl w:val="0"/>
          <w:numId w:val="1"/>
        </w:numPr>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0"/>
        <w:rPr>
          <w:rFonts w:hint="eastAsia" w:ascii="黑体" w:hAnsi="黑体" w:eastAsia="黑体" w:cs="黑体"/>
          <w:b w:val="0"/>
          <w:bCs/>
          <w:sz w:val="30"/>
          <w:szCs w:val="30"/>
          <w:lang w:val="en-US" w:eastAsia="zh-CN"/>
        </w:rPr>
      </w:pPr>
      <w:bookmarkStart w:id="29" w:name="_Toc28993"/>
      <w:r>
        <w:rPr>
          <w:rFonts w:hint="eastAsia" w:ascii="黑体" w:hAnsi="黑体" w:eastAsia="黑体" w:cs="黑体"/>
          <w:b w:val="0"/>
          <w:bCs/>
          <w:sz w:val="30"/>
          <w:szCs w:val="30"/>
          <w:lang w:val="en-US" w:eastAsia="zh-CN"/>
        </w:rPr>
        <w:t>仁德教育基金</w:t>
      </w:r>
      <w:bookmarkEnd w:id="29"/>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项目号：</w:t>
      </w:r>
      <w:r>
        <w:rPr>
          <w:rFonts w:hint="eastAsia" w:ascii="仿宋" w:hAnsi="仿宋" w:eastAsia="仿宋" w:cs="仿宋"/>
          <w:b w:val="0"/>
          <w:bCs w:val="0"/>
          <w:sz w:val="28"/>
          <w:szCs w:val="28"/>
          <w:lang w:val="en-US" w:eastAsia="zh-CN"/>
        </w:rPr>
        <w:t>06060123</w:t>
      </w:r>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捐赠方：</w:t>
      </w:r>
      <w:r>
        <w:rPr>
          <w:rFonts w:hint="eastAsia" w:ascii="仿宋" w:hAnsi="仿宋" w:eastAsia="仿宋" w:cs="仿宋"/>
          <w:sz w:val="28"/>
          <w:szCs w:val="28"/>
        </w:rPr>
        <w:t>张仁增</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评选</w:t>
      </w:r>
      <w:r>
        <w:rPr>
          <w:rFonts w:hint="eastAsia" w:ascii="仿宋" w:hAnsi="仿宋" w:eastAsia="仿宋" w:cs="仿宋"/>
          <w:b/>
          <w:bCs/>
          <w:sz w:val="28"/>
          <w:szCs w:val="28"/>
        </w:rPr>
        <w:t>范围</w:t>
      </w:r>
      <w:r>
        <w:rPr>
          <w:rFonts w:hint="eastAsia" w:ascii="仿宋" w:hAnsi="仿宋" w:eastAsia="仿宋" w:cs="仿宋"/>
          <w:b/>
          <w:bCs/>
          <w:sz w:val="28"/>
          <w:szCs w:val="28"/>
          <w:lang w:eastAsia="zh-CN"/>
        </w:rPr>
        <w:t>：</w:t>
      </w:r>
    </w:p>
    <w:p>
      <w:pPr>
        <w:keepNext w:val="0"/>
        <w:keepLines w:val="0"/>
        <w:pageBreakBefore w:val="0"/>
        <w:widowControl w:val="0"/>
        <w:numPr>
          <w:ilvl w:val="0"/>
          <w:numId w:val="51"/>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奖励机电学院中基本功扎实、综合素质突出，有一定创新能力的本科生及研究生；</w:t>
      </w:r>
    </w:p>
    <w:p>
      <w:pPr>
        <w:keepNext w:val="0"/>
        <w:keepLines w:val="0"/>
        <w:pageBreakBefore w:val="0"/>
        <w:widowControl w:val="0"/>
        <w:numPr>
          <w:ilvl w:val="0"/>
          <w:numId w:val="51"/>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资助机电学院家庭经济特别困难且学习奋进的本科生及研究生；</w:t>
      </w:r>
    </w:p>
    <w:p>
      <w:pPr>
        <w:keepNext w:val="0"/>
        <w:keepLines w:val="0"/>
        <w:pageBreakBefore w:val="0"/>
        <w:widowControl w:val="0"/>
        <w:numPr>
          <w:ilvl w:val="0"/>
          <w:numId w:val="51"/>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资助机电学院家庭经济困难且积极就业的本科生及研究生；</w:t>
      </w:r>
    </w:p>
    <w:p>
      <w:pPr>
        <w:keepNext w:val="0"/>
        <w:keepLines w:val="0"/>
        <w:pageBreakBefore w:val="0"/>
        <w:widowControl w:val="0"/>
        <w:numPr>
          <w:ilvl w:val="0"/>
          <w:numId w:val="51"/>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资助机电学院家庭经济困难学生中学业基本功扎实、综合素质及能力突出的本科生赴海外参加学习、交流与实践；</w:t>
      </w:r>
    </w:p>
    <w:p>
      <w:pPr>
        <w:keepNext w:val="0"/>
        <w:keepLines w:val="0"/>
        <w:pageBreakBefore w:val="0"/>
        <w:widowControl w:val="0"/>
        <w:numPr>
          <w:ilvl w:val="0"/>
          <w:numId w:val="51"/>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资助本科生和研究生团队或个人（尤其是家庭经济困难学生）开展各类社会实践活动；</w:t>
      </w:r>
    </w:p>
    <w:p>
      <w:pPr>
        <w:keepNext w:val="0"/>
        <w:keepLines w:val="0"/>
        <w:pageBreakBefore w:val="0"/>
        <w:widowControl w:val="0"/>
        <w:numPr>
          <w:ilvl w:val="0"/>
          <w:numId w:val="51"/>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奖励机电学院中学业基本功扎实、对本科生学业困难学生进行学业帮扶的本科生及研究生；</w:t>
      </w:r>
    </w:p>
    <w:p>
      <w:pPr>
        <w:keepNext w:val="0"/>
        <w:keepLines w:val="0"/>
        <w:pageBreakBefore w:val="0"/>
        <w:widowControl w:val="0"/>
        <w:numPr>
          <w:ilvl w:val="0"/>
          <w:numId w:val="51"/>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援助机电学院因本人或家庭突发变故而造成学习生活困难的学生。</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名额及金额：</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9"/>
        <w:rPr>
          <w:rFonts w:hint="eastAsia" w:ascii="仿宋" w:hAnsi="仿宋" w:eastAsia="仿宋" w:cs="仿宋"/>
          <w:sz w:val="28"/>
          <w:szCs w:val="28"/>
          <w:lang w:eastAsia="zh-CN"/>
        </w:rPr>
      </w:pPr>
      <w:r>
        <w:rPr>
          <w:rFonts w:hint="eastAsia" w:ascii="仿宋" w:hAnsi="仿宋" w:eastAsia="仿宋" w:cs="仿宋"/>
          <w:b/>
          <w:bCs/>
          <w:sz w:val="28"/>
          <w:szCs w:val="28"/>
        </w:rPr>
        <w:t>仁德奖学金</w:t>
      </w:r>
      <w:r>
        <w:rPr>
          <w:rFonts w:hint="eastAsia" w:ascii="仿宋" w:hAnsi="仿宋" w:eastAsia="仿宋" w:cs="仿宋"/>
          <w:b/>
          <w:bCs/>
          <w:sz w:val="28"/>
          <w:szCs w:val="28"/>
          <w:lang w:eastAsia="zh-CN"/>
        </w:rPr>
        <w:t>：</w:t>
      </w:r>
    </w:p>
    <w:p>
      <w:pPr>
        <w:keepNext w:val="0"/>
        <w:keepLines w:val="0"/>
        <w:pageBreakBefore w:val="0"/>
        <w:widowControl w:val="0"/>
        <w:numPr>
          <w:ilvl w:val="0"/>
          <w:numId w:val="52"/>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奖励对象：机电学院在校全日制本科生和研究生。</w:t>
      </w:r>
    </w:p>
    <w:p>
      <w:pPr>
        <w:keepNext w:val="0"/>
        <w:keepLines w:val="0"/>
        <w:pageBreakBefore w:val="0"/>
        <w:widowControl w:val="0"/>
        <w:numPr>
          <w:ilvl w:val="0"/>
          <w:numId w:val="52"/>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名额及金额：每年评选出本科生6名和研究生4名（年度评选人数少于10人时，名额可以用于后续年度的评选），资助金额为10000元/人·年。</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9"/>
        <w:rPr>
          <w:rFonts w:hint="eastAsia" w:ascii="仿宋" w:hAnsi="仿宋" w:eastAsia="仿宋" w:cs="仿宋"/>
          <w:b/>
          <w:bCs/>
          <w:sz w:val="28"/>
          <w:szCs w:val="28"/>
          <w:lang w:eastAsia="zh-CN"/>
        </w:rPr>
      </w:pPr>
      <w:r>
        <w:rPr>
          <w:rFonts w:hint="eastAsia" w:ascii="仿宋" w:hAnsi="仿宋" w:eastAsia="仿宋" w:cs="仿宋"/>
          <w:b/>
          <w:bCs/>
          <w:sz w:val="28"/>
          <w:szCs w:val="28"/>
        </w:rPr>
        <w:t>仁德助学金</w:t>
      </w:r>
      <w:r>
        <w:rPr>
          <w:rFonts w:hint="eastAsia" w:ascii="仿宋" w:hAnsi="仿宋" w:eastAsia="仿宋" w:cs="仿宋"/>
          <w:b/>
          <w:bCs/>
          <w:sz w:val="28"/>
          <w:szCs w:val="28"/>
          <w:lang w:eastAsia="zh-CN"/>
        </w:rPr>
        <w:t>：</w:t>
      </w:r>
    </w:p>
    <w:p>
      <w:pPr>
        <w:keepNext w:val="0"/>
        <w:keepLines w:val="0"/>
        <w:pageBreakBefore w:val="0"/>
        <w:widowControl w:val="0"/>
        <w:numPr>
          <w:ilvl w:val="0"/>
          <w:numId w:val="53"/>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受助对象：机电学院在校全日制家庭经济特别困难的本科生和研究生。</w:t>
      </w:r>
    </w:p>
    <w:p>
      <w:pPr>
        <w:keepNext w:val="0"/>
        <w:keepLines w:val="0"/>
        <w:pageBreakBefore w:val="0"/>
        <w:widowControl w:val="0"/>
        <w:numPr>
          <w:ilvl w:val="0"/>
          <w:numId w:val="53"/>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名额及金额：每年从家庭经济特别困难且学习奋进的学生中评选出本科生8名和研究生4名（年度评选人数少于12人时，名额可以用于后续年度的评选），奖励金额为10000元/人·年。</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9"/>
        <w:rPr>
          <w:rFonts w:hint="eastAsia" w:ascii="仿宋" w:hAnsi="仿宋" w:eastAsia="仿宋" w:cs="仿宋"/>
          <w:sz w:val="28"/>
          <w:szCs w:val="28"/>
          <w:lang w:eastAsia="zh-CN"/>
        </w:rPr>
      </w:pPr>
      <w:r>
        <w:rPr>
          <w:rFonts w:hint="eastAsia" w:ascii="仿宋" w:hAnsi="仿宋" w:eastAsia="仿宋" w:cs="仿宋"/>
          <w:b/>
          <w:bCs/>
          <w:sz w:val="28"/>
          <w:szCs w:val="28"/>
        </w:rPr>
        <w:t>仁德就业助学金</w:t>
      </w:r>
      <w:r>
        <w:rPr>
          <w:rFonts w:hint="eastAsia" w:ascii="仿宋" w:hAnsi="仿宋" w:eastAsia="仿宋" w:cs="仿宋"/>
          <w:b/>
          <w:bCs/>
          <w:sz w:val="28"/>
          <w:szCs w:val="28"/>
          <w:lang w:eastAsia="zh-CN"/>
        </w:rPr>
        <w:t>：</w:t>
      </w:r>
    </w:p>
    <w:p>
      <w:pPr>
        <w:keepNext w:val="0"/>
        <w:keepLines w:val="0"/>
        <w:pageBreakBefore w:val="0"/>
        <w:widowControl w:val="0"/>
        <w:numPr>
          <w:ilvl w:val="0"/>
          <w:numId w:val="54"/>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受助对象：机电学院在校全日制家庭经济困难的本科生和研究生。</w:t>
      </w:r>
    </w:p>
    <w:p>
      <w:pPr>
        <w:keepNext w:val="0"/>
        <w:keepLines w:val="0"/>
        <w:pageBreakBefore w:val="0"/>
        <w:widowControl w:val="0"/>
        <w:numPr>
          <w:ilvl w:val="0"/>
          <w:numId w:val="54"/>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名额及金额：每年从家庭经济困难且积极就业的学生中评选出本科生和研究生各10名（年度评选人数少于20人时，名额可以用于后续年度的评选），奖励金额为1000元/人·年。</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9"/>
        <w:rPr>
          <w:rFonts w:hint="eastAsia" w:ascii="仿宋" w:hAnsi="仿宋" w:eastAsia="仿宋" w:cs="仿宋"/>
          <w:b/>
          <w:bCs/>
          <w:sz w:val="28"/>
          <w:szCs w:val="28"/>
          <w:lang w:eastAsia="zh-CN"/>
        </w:rPr>
      </w:pPr>
      <w:r>
        <w:rPr>
          <w:rFonts w:hint="eastAsia" w:ascii="仿宋" w:hAnsi="仿宋" w:eastAsia="仿宋" w:cs="仿宋"/>
          <w:b/>
          <w:bCs/>
          <w:sz w:val="28"/>
          <w:szCs w:val="28"/>
        </w:rPr>
        <w:t>仁德海外交流资助金</w:t>
      </w:r>
      <w:r>
        <w:rPr>
          <w:rFonts w:hint="eastAsia" w:ascii="仿宋" w:hAnsi="仿宋" w:eastAsia="仿宋" w:cs="仿宋"/>
          <w:b/>
          <w:bCs/>
          <w:sz w:val="28"/>
          <w:szCs w:val="28"/>
          <w:lang w:eastAsia="zh-CN"/>
        </w:rPr>
        <w:t>：</w:t>
      </w:r>
    </w:p>
    <w:p>
      <w:pPr>
        <w:keepNext w:val="0"/>
        <w:keepLines w:val="0"/>
        <w:pageBreakBefore w:val="0"/>
        <w:widowControl w:val="0"/>
        <w:numPr>
          <w:ilvl w:val="0"/>
          <w:numId w:val="55"/>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资助对象：机电学院在校全日制利用寒暑假短期赴海外参加学习、交流和实践的家庭经济困难本科生。</w:t>
      </w:r>
    </w:p>
    <w:p>
      <w:pPr>
        <w:keepNext w:val="0"/>
        <w:keepLines w:val="0"/>
        <w:pageBreakBefore w:val="0"/>
        <w:widowControl w:val="0"/>
        <w:numPr>
          <w:ilvl w:val="0"/>
          <w:numId w:val="55"/>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名额及金额：每年根据本科生贫困学生申请情况评选2～4名，总的资助奖励金额为40000元/年。</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9"/>
        <w:rPr>
          <w:rFonts w:hint="eastAsia" w:ascii="仿宋" w:hAnsi="仿宋" w:eastAsia="仿宋" w:cs="仿宋"/>
          <w:b/>
          <w:bCs/>
          <w:sz w:val="28"/>
          <w:szCs w:val="28"/>
          <w:lang w:eastAsia="zh-CN"/>
        </w:rPr>
      </w:pPr>
      <w:r>
        <w:rPr>
          <w:rFonts w:hint="eastAsia" w:ascii="仿宋" w:hAnsi="仿宋" w:eastAsia="仿宋" w:cs="仿宋"/>
          <w:b/>
          <w:bCs/>
          <w:sz w:val="28"/>
          <w:szCs w:val="28"/>
        </w:rPr>
        <w:t>仁德社会实践资助金</w:t>
      </w:r>
      <w:r>
        <w:rPr>
          <w:rFonts w:hint="eastAsia" w:ascii="仿宋" w:hAnsi="仿宋" w:eastAsia="仿宋" w:cs="仿宋"/>
          <w:b/>
          <w:bCs/>
          <w:sz w:val="28"/>
          <w:szCs w:val="28"/>
          <w:lang w:eastAsia="zh-CN"/>
        </w:rPr>
        <w:t>：</w:t>
      </w:r>
    </w:p>
    <w:p>
      <w:pPr>
        <w:keepNext w:val="0"/>
        <w:keepLines w:val="0"/>
        <w:pageBreakBefore w:val="0"/>
        <w:widowControl w:val="0"/>
        <w:numPr>
          <w:ilvl w:val="0"/>
          <w:numId w:val="56"/>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资助对象：机电学院在校全日制本科生、研究生社会实践团队和参与社会实践的家庭经济困难学生。</w:t>
      </w:r>
    </w:p>
    <w:p>
      <w:pPr>
        <w:keepNext w:val="0"/>
        <w:keepLines w:val="0"/>
        <w:pageBreakBefore w:val="0"/>
        <w:widowControl w:val="0"/>
        <w:numPr>
          <w:ilvl w:val="0"/>
          <w:numId w:val="56"/>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名额及金额：</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①支持社会实践团队：本科生根据团队建设情况进行立项答辩，确定重点团队、支持团队和一般团队的数量，根据团队获奖等级及建设需要确定资助额度，本科生总资助额度不超过3万元；研究生根据团队获奖等级及建设需要确定资助额度，研究生总资助额度不超过2万元。</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②支持社会实践家庭经济困难学生个人：按照事先申请（预算）、审批额度，项目结束后提交个人总结和实践费用票据的形式对参与社会实践的家庭经济困难学生进行资助，本研学生总资助额度不超过1万元。</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仁德学业帮扶奖励金</w:t>
      </w:r>
    </w:p>
    <w:p>
      <w:pPr>
        <w:keepNext w:val="0"/>
        <w:keepLines w:val="0"/>
        <w:pageBreakBefore w:val="0"/>
        <w:widowControl w:val="0"/>
        <w:numPr>
          <w:ilvl w:val="0"/>
          <w:numId w:val="57"/>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奖励对象：机电学院在校全日制学业基本功扎实、对本科生学业困难学生进行学业帮扶的本科生及研究生。</w:t>
      </w:r>
    </w:p>
    <w:p>
      <w:pPr>
        <w:keepNext w:val="0"/>
        <w:keepLines w:val="0"/>
        <w:pageBreakBefore w:val="0"/>
        <w:widowControl w:val="0"/>
        <w:numPr>
          <w:ilvl w:val="0"/>
          <w:numId w:val="57"/>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名额及金额：名额、金额依据每年学业帮扶实际开展情况而定，总金额不超过5万元。</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仁德困难援助金</w:t>
      </w:r>
    </w:p>
    <w:p>
      <w:pPr>
        <w:keepNext w:val="0"/>
        <w:keepLines w:val="0"/>
        <w:pageBreakBefore w:val="0"/>
        <w:widowControl w:val="0"/>
        <w:numPr>
          <w:ilvl w:val="0"/>
          <w:numId w:val="58"/>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援助对象：机电学院在校全日制本科生及研究生。</w:t>
      </w:r>
    </w:p>
    <w:p>
      <w:pPr>
        <w:keepNext w:val="0"/>
        <w:keepLines w:val="0"/>
        <w:pageBreakBefore w:val="0"/>
        <w:widowControl w:val="0"/>
        <w:numPr>
          <w:ilvl w:val="0"/>
          <w:numId w:val="58"/>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名额及金额：名额、金额依据每年实际情况而定，总援助金额约为10000元/年（如上一年有剩余的，可顺延使用）。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评选条件</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仁德奖学金</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本科生</w:t>
      </w:r>
    </w:p>
    <w:p>
      <w:pPr>
        <w:keepNext w:val="0"/>
        <w:keepLines w:val="0"/>
        <w:pageBreakBefore w:val="0"/>
        <w:widowControl w:val="0"/>
        <w:numPr>
          <w:ilvl w:val="0"/>
          <w:numId w:val="59"/>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积极进取，热爱祖国，热爱中国共产党;</w:t>
      </w:r>
    </w:p>
    <w:p>
      <w:pPr>
        <w:keepNext w:val="0"/>
        <w:keepLines w:val="0"/>
        <w:pageBreakBefore w:val="0"/>
        <w:widowControl w:val="0"/>
        <w:numPr>
          <w:ilvl w:val="0"/>
          <w:numId w:val="59"/>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遵守国家法律法规和校纪校规，品行端正，无违法乱纪行为;</w:t>
      </w:r>
    </w:p>
    <w:p>
      <w:pPr>
        <w:keepNext w:val="0"/>
        <w:keepLines w:val="0"/>
        <w:pageBreakBefore w:val="0"/>
        <w:widowControl w:val="0"/>
        <w:numPr>
          <w:ilvl w:val="0"/>
          <w:numId w:val="59"/>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学习勤奋刻苦，成绩优异；</w:t>
      </w:r>
    </w:p>
    <w:p>
      <w:pPr>
        <w:keepNext w:val="0"/>
        <w:keepLines w:val="0"/>
        <w:pageBreakBefore w:val="0"/>
        <w:widowControl w:val="0"/>
        <w:numPr>
          <w:ilvl w:val="0"/>
          <w:numId w:val="59"/>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具有较高的综合素质和创新能力潜质；</w:t>
      </w:r>
    </w:p>
    <w:p>
      <w:pPr>
        <w:keepNext w:val="0"/>
        <w:keepLines w:val="0"/>
        <w:pageBreakBefore w:val="0"/>
        <w:widowControl w:val="0"/>
        <w:numPr>
          <w:ilvl w:val="0"/>
          <w:numId w:val="59"/>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积极参与科研项目、社会实践、社会服务等活动；</w:t>
      </w:r>
    </w:p>
    <w:p>
      <w:pPr>
        <w:keepNext w:val="0"/>
        <w:keepLines w:val="0"/>
        <w:pageBreakBefore w:val="0"/>
        <w:widowControl w:val="0"/>
        <w:numPr>
          <w:ilvl w:val="0"/>
          <w:numId w:val="59"/>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有意愿继续在机电学院学习；</w:t>
      </w:r>
    </w:p>
    <w:p>
      <w:pPr>
        <w:keepNext w:val="0"/>
        <w:keepLines w:val="0"/>
        <w:pageBreakBefore w:val="0"/>
        <w:widowControl w:val="0"/>
        <w:numPr>
          <w:ilvl w:val="0"/>
          <w:numId w:val="59"/>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符合北京交通大学专项奖学金评选条件（荣获校级及以上“三好学生”或“优秀学生干部”称号者)。</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研究生</w:t>
      </w:r>
    </w:p>
    <w:p>
      <w:pPr>
        <w:keepNext w:val="0"/>
        <w:keepLines w:val="0"/>
        <w:pageBreakBefore w:val="0"/>
        <w:widowControl w:val="0"/>
        <w:numPr>
          <w:ilvl w:val="0"/>
          <w:numId w:val="60"/>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思想进步，热爱祖国，热爱中国共产党；</w:t>
      </w:r>
    </w:p>
    <w:p>
      <w:pPr>
        <w:keepNext w:val="0"/>
        <w:keepLines w:val="0"/>
        <w:pageBreakBefore w:val="0"/>
        <w:widowControl w:val="0"/>
        <w:numPr>
          <w:ilvl w:val="0"/>
          <w:numId w:val="60"/>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遵守国家法律法规和校纪校规，品行端正，无违法乱纪行为；</w:t>
      </w:r>
    </w:p>
    <w:p>
      <w:pPr>
        <w:keepNext w:val="0"/>
        <w:keepLines w:val="0"/>
        <w:pageBreakBefore w:val="0"/>
        <w:widowControl w:val="0"/>
        <w:numPr>
          <w:ilvl w:val="0"/>
          <w:numId w:val="60"/>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学习勤奋刻苦，成绩优良，科研能力较强；</w:t>
      </w:r>
    </w:p>
    <w:p>
      <w:pPr>
        <w:keepNext w:val="0"/>
        <w:keepLines w:val="0"/>
        <w:pageBreakBefore w:val="0"/>
        <w:widowControl w:val="0"/>
        <w:numPr>
          <w:ilvl w:val="0"/>
          <w:numId w:val="60"/>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具有较高的综合素质和创新能力潜质；</w:t>
      </w:r>
    </w:p>
    <w:p>
      <w:pPr>
        <w:keepNext w:val="0"/>
        <w:keepLines w:val="0"/>
        <w:pageBreakBefore w:val="0"/>
        <w:widowControl w:val="0"/>
        <w:numPr>
          <w:ilvl w:val="0"/>
          <w:numId w:val="60"/>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符合北京交通大学专项奖学金评选条件。</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仁德助学金</w:t>
      </w:r>
    </w:p>
    <w:p>
      <w:pPr>
        <w:keepNext w:val="0"/>
        <w:keepLines w:val="0"/>
        <w:pageBreakBefore w:val="0"/>
        <w:widowControl w:val="0"/>
        <w:numPr>
          <w:ilvl w:val="0"/>
          <w:numId w:val="61"/>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思想进步，热爱祖国，热爱中国共产党；</w:t>
      </w:r>
    </w:p>
    <w:p>
      <w:pPr>
        <w:keepNext w:val="0"/>
        <w:keepLines w:val="0"/>
        <w:pageBreakBefore w:val="0"/>
        <w:widowControl w:val="0"/>
        <w:numPr>
          <w:ilvl w:val="0"/>
          <w:numId w:val="61"/>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遵守国家法律法规和校纪校规，品行端正，无违法乱纪行为；</w:t>
      </w:r>
    </w:p>
    <w:p>
      <w:pPr>
        <w:keepNext w:val="0"/>
        <w:keepLines w:val="0"/>
        <w:pageBreakBefore w:val="0"/>
        <w:widowControl w:val="0"/>
        <w:numPr>
          <w:ilvl w:val="0"/>
          <w:numId w:val="61"/>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学习勤奋刻苦，成绩优良，专业排名前70%，无不及格记录；</w:t>
      </w:r>
    </w:p>
    <w:p>
      <w:pPr>
        <w:keepNext w:val="0"/>
        <w:keepLines w:val="0"/>
        <w:pageBreakBefore w:val="0"/>
        <w:widowControl w:val="0"/>
        <w:numPr>
          <w:ilvl w:val="0"/>
          <w:numId w:val="61"/>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生活简朴、学校认定的家庭经济特别困难学生；</w:t>
      </w:r>
    </w:p>
    <w:p>
      <w:pPr>
        <w:keepNext w:val="0"/>
        <w:keepLines w:val="0"/>
        <w:pageBreakBefore w:val="0"/>
        <w:widowControl w:val="0"/>
        <w:numPr>
          <w:ilvl w:val="0"/>
          <w:numId w:val="61"/>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不与各类专项助学金兼得。</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仁德就业助学金</w:t>
      </w:r>
    </w:p>
    <w:p>
      <w:pPr>
        <w:keepNext w:val="0"/>
        <w:keepLines w:val="0"/>
        <w:pageBreakBefore w:val="0"/>
        <w:widowControl w:val="0"/>
        <w:numPr>
          <w:ilvl w:val="0"/>
          <w:numId w:val="62"/>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思想进步，热爱祖国，热爱中国共产党；</w:t>
      </w:r>
    </w:p>
    <w:p>
      <w:pPr>
        <w:keepNext w:val="0"/>
        <w:keepLines w:val="0"/>
        <w:pageBreakBefore w:val="0"/>
        <w:widowControl w:val="0"/>
        <w:numPr>
          <w:ilvl w:val="0"/>
          <w:numId w:val="62"/>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遵守国家法律法规和校纪校规，品行端正，无违法乱纪行为；</w:t>
      </w:r>
    </w:p>
    <w:p>
      <w:pPr>
        <w:keepNext w:val="0"/>
        <w:keepLines w:val="0"/>
        <w:pageBreakBefore w:val="0"/>
        <w:widowControl w:val="0"/>
        <w:numPr>
          <w:ilvl w:val="0"/>
          <w:numId w:val="62"/>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就业过程中无违约行为；</w:t>
      </w:r>
    </w:p>
    <w:p>
      <w:pPr>
        <w:keepNext w:val="0"/>
        <w:keepLines w:val="0"/>
        <w:pageBreakBefore w:val="0"/>
        <w:widowControl w:val="0"/>
        <w:numPr>
          <w:ilvl w:val="0"/>
          <w:numId w:val="62"/>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生活简朴、毕业学年经学校认定的家庭经济困难学生；</w:t>
      </w:r>
    </w:p>
    <w:p>
      <w:pPr>
        <w:keepNext w:val="0"/>
        <w:keepLines w:val="0"/>
        <w:pageBreakBefore w:val="0"/>
        <w:widowControl w:val="0"/>
        <w:numPr>
          <w:ilvl w:val="0"/>
          <w:numId w:val="62"/>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积极参加求职择业活动，在应聘过程中，确实有本人实际费用支出，培训费、从业资格认证费、交通费、置装费、求职材料制作费用等；</w:t>
      </w:r>
    </w:p>
    <w:p>
      <w:pPr>
        <w:keepNext w:val="0"/>
        <w:keepLines w:val="0"/>
        <w:pageBreakBefore w:val="0"/>
        <w:widowControl w:val="0"/>
        <w:numPr>
          <w:ilvl w:val="0"/>
          <w:numId w:val="62"/>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保研、考取研究生及出国（境）毕业生不在受助范围内；</w:t>
      </w:r>
    </w:p>
    <w:p>
      <w:pPr>
        <w:keepNext w:val="0"/>
        <w:keepLines w:val="0"/>
        <w:pageBreakBefore w:val="0"/>
        <w:widowControl w:val="0"/>
        <w:numPr>
          <w:ilvl w:val="0"/>
          <w:numId w:val="62"/>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不能按期毕业的学生不在受助范围内；</w:t>
      </w:r>
    </w:p>
    <w:p>
      <w:pPr>
        <w:keepNext w:val="0"/>
        <w:keepLines w:val="0"/>
        <w:pageBreakBefore w:val="0"/>
        <w:widowControl w:val="0"/>
        <w:numPr>
          <w:ilvl w:val="0"/>
          <w:numId w:val="62"/>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同等条件下优先考虑到西部、基层就业的学生。</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仁德海外交流资助金</w:t>
      </w:r>
    </w:p>
    <w:p>
      <w:pPr>
        <w:keepNext w:val="0"/>
        <w:keepLines w:val="0"/>
        <w:pageBreakBefore w:val="0"/>
        <w:widowControl w:val="0"/>
        <w:numPr>
          <w:ilvl w:val="0"/>
          <w:numId w:val="63"/>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思想进步，热爱祖国，热爱中国共产党；</w:t>
      </w:r>
    </w:p>
    <w:p>
      <w:pPr>
        <w:keepNext w:val="0"/>
        <w:keepLines w:val="0"/>
        <w:pageBreakBefore w:val="0"/>
        <w:widowControl w:val="0"/>
        <w:numPr>
          <w:ilvl w:val="0"/>
          <w:numId w:val="63"/>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遵守国家法律法规和校纪校规，品行端正，无违法乱纪行为；</w:t>
      </w:r>
    </w:p>
    <w:p>
      <w:pPr>
        <w:keepNext w:val="0"/>
        <w:keepLines w:val="0"/>
        <w:pageBreakBefore w:val="0"/>
        <w:widowControl w:val="0"/>
        <w:numPr>
          <w:ilvl w:val="0"/>
          <w:numId w:val="63"/>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被学院当年认定为家庭经济困难学生；</w:t>
      </w:r>
    </w:p>
    <w:p>
      <w:pPr>
        <w:keepNext w:val="0"/>
        <w:keepLines w:val="0"/>
        <w:pageBreakBefore w:val="0"/>
        <w:widowControl w:val="0"/>
        <w:numPr>
          <w:ilvl w:val="0"/>
          <w:numId w:val="63"/>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学习勤奋刻苦，成绩优良，专业排名前70%，无不及格记录；</w:t>
      </w:r>
    </w:p>
    <w:p>
      <w:pPr>
        <w:keepNext w:val="0"/>
        <w:keepLines w:val="0"/>
        <w:pageBreakBefore w:val="0"/>
        <w:widowControl w:val="0"/>
        <w:numPr>
          <w:ilvl w:val="0"/>
          <w:numId w:val="63"/>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本年度已经参加或成功申报学院组织实施或认可的项目：赴国（境）外合作院校或研究机构开展专业学习、科研合作、学术交流、游学、短期研修、学术会议、国际性比赛等；</w:t>
      </w:r>
    </w:p>
    <w:p>
      <w:pPr>
        <w:keepNext w:val="0"/>
        <w:keepLines w:val="0"/>
        <w:pageBreakBefore w:val="0"/>
        <w:widowControl w:val="0"/>
        <w:numPr>
          <w:ilvl w:val="0"/>
          <w:numId w:val="63"/>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学生在校期间原则上只能申请1次海外交流资助金。</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仁德社会实践资助金</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实践团队</w:t>
      </w:r>
    </w:p>
    <w:p>
      <w:pPr>
        <w:keepNext w:val="0"/>
        <w:keepLines w:val="0"/>
        <w:pageBreakBefore w:val="0"/>
        <w:widowControl w:val="0"/>
        <w:numPr>
          <w:ilvl w:val="0"/>
          <w:numId w:val="64"/>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参与学校团委组织开展的暑期社会实践活动并顺利完成实践任务；</w:t>
      </w:r>
    </w:p>
    <w:p>
      <w:pPr>
        <w:keepNext w:val="0"/>
        <w:keepLines w:val="0"/>
        <w:pageBreakBefore w:val="0"/>
        <w:widowControl w:val="0"/>
        <w:numPr>
          <w:ilvl w:val="0"/>
          <w:numId w:val="64"/>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实践团成员可以有外院学生，但实践团负责人需为我院学生；</w:t>
      </w:r>
    </w:p>
    <w:p>
      <w:pPr>
        <w:keepNext w:val="0"/>
        <w:keepLines w:val="0"/>
        <w:pageBreakBefore w:val="0"/>
        <w:widowControl w:val="0"/>
        <w:numPr>
          <w:ilvl w:val="0"/>
          <w:numId w:val="64"/>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实践团需按照学院统一要求开展实践活动，按照立项经费预算进行实际支出，超出预算部分不在资助范围之内；</w:t>
      </w:r>
    </w:p>
    <w:p>
      <w:pPr>
        <w:keepNext w:val="0"/>
        <w:keepLines w:val="0"/>
        <w:pageBreakBefore w:val="0"/>
        <w:widowControl w:val="0"/>
        <w:numPr>
          <w:ilvl w:val="0"/>
          <w:numId w:val="64"/>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本科生、研究生分别根据团队获奖等级及建设需要确定资助额度；</w:t>
      </w:r>
    </w:p>
    <w:p>
      <w:pPr>
        <w:keepNext w:val="0"/>
        <w:keepLines w:val="0"/>
        <w:pageBreakBefore w:val="0"/>
        <w:widowControl w:val="0"/>
        <w:numPr>
          <w:ilvl w:val="0"/>
          <w:numId w:val="64"/>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可与其他学校实践类奖金兼得。</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实践个人</w:t>
      </w:r>
    </w:p>
    <w:p>
      <w:pPr>
        <w:keepNext w:val="0"/>
        <w:keepLines w:val="0"/>
        <w:pageBreakBefore w:val="0"/>
        <w:widowControl w:val="0"/>
        <w:numPr>
          <w:ilvl w:val="0"/>
          <w:numId w:val="65"/>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遵守国家法律法规和校纪校规，品行端正，无违法乱纪行为；</w:t>
      </w:r>
    </w:p>
    <w:p>
      <w:pPr>
        <w:keepNext w:val="0"/>
        <w:keepLines w:val="0"/>
        <w:pageBreakBefore w:val="0"/>
        <w:widowControl w:val="0"/>
        <w:numPr>
          <w:ilvl w:val="0"/>
          <w:numId w:val="65"/>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学习勤奋刻苦，成绩优良，专业排名前70%，无不及格记录；</w:t>
      </w:r>
    </w:p>
    <w:p>
      <w:pPr>
        <w:keepNext w:val="0"/>
        <w:keepLines w:val="0"/>
        <w:pageBreakBefore w:val="0"/>
        <w:widowControl w:val="0"/>
        <w:numPr>
          <w:ilvl w:val="0"/>
          <w:numId w:val="65"/>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生活简朴、学校认定的家庭经济特别困难学生；</w:t>
      </w:r>
    </w:p>
    <w:p>
      <w:pPr>
        <w:keepNext w:val="0"/>
        <w:keepLines w:val="0"/>
        <w:pageBreakBefore w:val="0"/>
        <w:widowControl w:val="0"/>
        <w:numPr>
          <w:ilvl w:val="0"/>
          <w:numId w:val="65"/>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全程参与实践活动并承担相应工作；</w:t>
      </w:r>
    </w:p>
    <w:p>
      <w:pPr>
        <w:keepNext w:val="0"/>
        <w:keepLines w:val="0"/>
        <w:pageBreakBefore w:val="0"/>
        <w:widowControl w:val="0"/>
        <w:numPr>
          <w:ilvl w:val="0"/>
          <w:numId w:val="65"/>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可与其他单专项奖学金兼得。</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仁德学业帮扶奖励金</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（1）总体要求</w:t>
      </w:r>
    </w:p>
    <w:p>
      <w:pPr>
        <w:keepNext w:val="0"/>
        <w:keepLines w:val="0"/>
        <w:pageBreakBefore w:val="0"/>
        <w:widowControl w:val="0"/>
        <w:numPr>
          <w:ilvl w:val="0"/>
          <w:numId w:val="66"/>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遵守国家法律法规和校纪校规，品行端正，无违法乱纪行为;</w:t>
      </w:r>
    </w:p>
    <w:p>
      <w:pPr>
        <w:keepNext w:val="0"/>
        <w:keepLines w:val="0"/>
        <w:pageBreakBefore w:val="0"/>
        <w:widowControl w:val="0"/>
        <w:numPr>
          <w:ilvl w:val="0"/>
          <w:numId w:val="66"/>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具有良好学习习惯和学习方法的学习尖兵，具有自主学习和终身学习的意识，有不断学习和适应发展的能力，带动周围同学一起学习并取得明显成效；</w:t>
      </w:r>
    </w:p>
    <w:p>
      <w:pPr>
        <w:keepNext w:val="0"/>
        <w:keepLines w:val="0"/>
        <w:pageBreakBefore w:val="0"/>
        <w:widowControl w:val="0"/>
        <w:numPr>
          <w:ilvl w:val="0"/>
          <w:numId w:val="66"/>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无不及格记录；</w:t>
      </w:r>
    </w:p>
    <w:p>
      <w:pPr>
        <w:keepNext w:val="0"/>
        <w:keepLines w:val="0"/>
        <w:pageBreakBefore w:val="0"/>
        <w:widowControl w:val="0"/>
        <w:numPr>
          <w:ilvl w:val="0"/>
          <w:numId w:val="66"/>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担任学院朋辈咨询师；</w:t>
      </w:r>
    </w:p>
    <w:p>
      <w:pPr>
        <w:keepNext w:val="0"/>
        <w:keepLines w:val="0"/>
        <w:pageBreakBefore w:val="0"/>
        <w:widowControl w:val="0"/>
        <w:numPr>
          <w:ilvl w:val="0"/>
          <w:numId w:val="66"/>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可与其他单专项奖学金兼得。</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（2）评选奖励形式</w:t>
      </w:r>
    </w:p>
    <w:p>
      <w:pPr>
        <w:keepNext w:val="0"/>
        <w:keepLines w:val="0"/>
        <w:pageBreakBefore w:val="0"/>
        <w:widowControl w:val="0"/>
        <w:numPr>
          <w:ilvl w:val="0"/>
          <w:numId w:val="67"/>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根据学生参与学业帮扶的工作量及帮扶成效按年度评定，按照30元/时标准支付授课酬金；</w:t>
      </w:r>
    </w:p>
    <w:p>
      <w:pPr>
        <w:keepNext w:val="0"/>
        <w:keepLines w:val="0"/>
        <w:pageBreakBefore w:val="0"/>
        <w:widowControl w:val="0"/>
        <w:numPr>
          <w:ilvl w:val="0"/>
          <w:numId w:val="67"/>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依据帮扶成效，按照30%的比例评选“帮扶成效奖”，给予相应学生颁发证书和300-500元的奖金。</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仁德困难援助金</w:t>
      </w:r>
    </w:p>
    <w:p>
      <w:pPr>
        <w:keepNext w:val="0"/>
        <w:keepLines w:val="0"/>
        <w:pageBreakBefore w:val="0"/>
        <w:widowControl w:val="0"/>
        <w:numPr>
          <w:ilvl w:val="0"/>
          <w:numId w:val="68"/>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申请援助的学生必须是家庭经济困难或因重大疾病、自然灾害等原因造成学习生活困难。</w:t>
      </w:r>
    </w:p>
    <w:p>
      <w:pPr>
        <w:keepNext w:val="0"/>
        <w:keepLines w:val="0"/>
        <w:pageBreakBefore w:val="0"/>
        <w:widowControl w:val="0"/>
        <w:numPr>
          <w:ilvl w:val="0"/>
          <w:numId w:val="68"/>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申请援助的学生应遵守法律法规及学校各项规章制度，生活俭朴，学习刻苦努力，在校表现良好，无违纪行为。</w:t>
      </w:r>
    </w:p>
    <w:p>
      <w:pPr>
        <w:keepNext w:val="0"/>
        <w:keepLines w:val="0"/>
        <w:pageBreakBefore w:val="0"/>
        <w:widowControl w:val="0"/>
        <w:numPr>
          <w:ilvl w:val="0"/>
          <w:numId w:val="68"/>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受助学生有下列行为之一者，学院有权中止、取消对其援助或追回资助款：</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①凡受到学校纪律处分的受助学生取消其受助资格；</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②学习成绩多门不及格，且学习不努力成绩大幅下降者，取消其受助资格。</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③凡发现各种铺张浪费等行为的受助学生，学院中止或取消对其资助；</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④凡发现有隐瞒其家庭经济情况，弄虚作假，材料不实等情况的受助学生，经调查核实后，由学院负责追回其全部受助款。</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b/>
          <w:bCs/>
          <w:sz w:val="28"/>
          <w:szCs w:val="28"/>
          <w:lang w:eastAsia="zh-CN"/>
        </w:rPr>
      </w:pPr>
      <w:r>
        <w:rPr>
          <w:rFonts w:hint="eastAsia" w:ascii="仿宋" w:hAnsi="仿宋" w:eastAsia="仿宋" w:cs="仿宋"/>
          <w:b/>
          <w:bCs/>
          <w:sz w:val="28"/>
          <w:szCs w:val="28"/>
        </w:rPr>
        <w:t>评审管理</w:t>
      </w:r>
      <w:r>
        <w:rPr>
          <w:rFonts w:hint="eastAsia" w:ascii="仿宋" w:hAnsi="仿宋" w:eastAsia="仿宋" w:cs="仿宋"/>
          <w:b/>
          <w:bCs/>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奖学金</w:t>
      </w:r>
    </w:p>
    <w:p>
      <w:pPr>
        <w:keepNext w:val="0"/>
        <w:keepLines w:val="0"/>
        <w:pageBreakBefore w:val="0"/>
        <w:widowControl w:val="0"/>
        <w:numPr>
          <w:ilvl w:val="0"/>
          <w:numId w:val="69"/>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仁德奖学金：每学年9至10月份评审一次，纳入学校评优评先体系统一管理，由教育基金会打入学生银行卡并向获奖学生颁发奖励证书。</w:t>
      </w:r>
    </w:p>
    <w:p>
      <w:pPr>
        <w:keepNext w:val="0"/>
        <w:keepLines w:val="0"/>
        <w:pageBreakBefore w:val="0"/>
        <w:widowControl w:val="0"/>
        <w:numPr>
          <w:ilvl w:val="0"/>
          <w:numId w:val="69"/>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其他奖励金（学业帮扶）：每学期初评审一次，根据上一学期学业帮扶的成效，由教育基金会通过打入学生银行卡的方式发放奖金并向获奖学生颁发奖励证书。</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助学金</w:t>
      </w:r>
    </w:p>
    <w:p>
      <w:pPr>
        <w:keepNext w:val="0"/>
        <w:keepLines w:val="0"/>
        <w:pageBreakBefore w:val="0"/>
        <w:widowControl w:val="0"/>
        <w:numPr>
          <w:ilvl w:val="0"/>
          <w:numId w:val="70"/>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仁德助学金：每学年9至10月份评审一次，纳入学校资助体系统一管理，由学校打入学生银行卡。学院对受助学生进行跟踪培养，每学期对其学业情况进行评估一次，对于学业明显退步的，视情况停止资助或资助金额减半。</w:t>
      </w:r>
    </w:p>
    <w:p>
      <w:pPr>
        <w:keepNext w:val="0"/>
        <w:keepLines w:val="0"/>
        <w:pageBreakBefore w:val="0"/>
        <w:widowControl w:val="0"/>
        <w:numPr>
          <w:ilvl w:val="0"/>
          <w:numId w:val="70"/>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仁德就业资助金：每学年3至4月份评审一次，由机电学院评定并以报销实际花销的形式发放。获援助后至学生毕业期间受到学校纪律处分的学生，由机电学院负责追回其奖学金。</w:t>
      </w:r>
    </w:p>
    <w:p>
      <w:pPr>
        <w:keepNext w:val="0"/>
        <w:keepLines w:val="0"/>
        <w:pageBreakBefore w:val="0"/>
        <w:widowControl w:val="0"/>
        <w:numPr>
          <w:ilvl w:val="0"/>
          <w:numId w:val="70"/>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社会实践资助金：每学年9至10月份评审一次，由机电学院根据学生社会实践团队获奖等级及建设情况评定，并以报销实际花销的形式发放。</w:t>
      </w:r>
    </w:p>
    <w:p>
      <w:pPr>
        <w:keepNext w:val="0"/>
        <w:keepLines w:val="0"/>
        <w:pageBreakBefore w:val="0"/>
        <w:widowControl w:val="0"/>
        <w:numPr>
          <w:ilvl w:val="0"/>
          <w:numId w:val="70"/>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仁德困难援助金：由学生申请、班主任（研究生导师）、辅导员签署意见、学院审批后，视实际情况确定援助金额，申请援助金额在5000元（含）以内的，由本科生或研究生工作组研究决定，对于申请援助金额超过5000元以上的，由学院党政联席会研究决定。</w:t>
      </w:r>
    </w:p>
    <w:p>
      <w:pPr>
        <w:keepNext w:val="0"/>
        <w:keepLines w:val="0"/>
        <w:pageBreakBefore w:val="0"/>
        <w:widowControl w:val="0"/>
        <w:numPr>
          <w:ilvl w:val="0"/>
          <w:numId w:val="70"/>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仁德海外交流资助金：由学生本人提出申请、班主任和辅导员签署意见、学院研究审批后按照审批额度发放或报销。获援助后在海外学习期间违反相关规定造成不良影响的，由机电学院负责追回其资助金。</w:t>
      </w:r>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 w:hAnsi="仿宋" w:eastAsia="仿宋" w:cs="仿宋"/>
          <w:b/>
          <w:bCs/>
          <w:sz w:val="28"/>
          <w:szCs w:val="28"/>
          <w:lang w:val="en-US" w:eastAsia="zh-CN"/>
        </w:rPr>
      </w:pPr>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 w:hAnsi="仿宋" w:eastAsia="仿宋" w:cs="仿宋"/>
          <w:b/>
          <w:bCs/>
          <w:sz w:val="28"/>
          <w:szCs w:val="28"/>
          <w:lang w:val="en-US" w:eastAsia="zh-CN"/>
        </w:rPr>
      </w:pPr>
    </w:p>
    <w:p>
      <w:pPr>
        <w:pStyle w:val="2"/>
        <w:keepNext/>
        <w:keepLines/>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Chars="0" w:right="0" w:rightChars="0"/>
        <w:jc w:val="both"/>
        <w:textAlignment w:val="auto"/>
        <w:outlineLvl w:val="0"/>
        <w:rPr>
          <w:rFonts w:hint="eastAsia" w:ascii="仿宋" w:hAnsi="仿宋" w:eastAsia="仿宋" w:cs="仿宋"/>
          <w:b w:val="0"/>
          <w:bCs/>
          <w:sz w:val="30"/>
          <w:szCs w:val="30"/>
          <w:lang w:val="en-US" w:eastAsia="zh-CN"/>
        </w:rPr>
      </w:pPr>
    </w:p>
    <w:p>
      <w:pPr>
        <w:pStyle w:val="2"/>
        <w:keepNext/>
        <w:keepLines/>
        <w:pageBreakBefore w:val="0"/>
        <w:widowControl w:val="0"/>
        <w:numPr>
          <w:ilvl w:val="0"/>
          <w:numId w:val="1"/>
        </w:numPr>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0"/>
        <w:rPr>
          <w:rFonts w:hint="eastAsia" w:ascii="黑体" w:hAnsi="黑体" w:eastAsia="黑体" w:cs="黑体"/>
          <w:b w:val="0"/>
          <w:bCs/>
          <w:sz w:val="30"/>
          <w:szCs w:val="30"/>
          <w:lang w:val="en-US" w:eastAsia="zh-CN"/>
        </w:rPr>
      </w:pPr>
      <w:bookmarkStart w:id="30" w:name="_Toc3339"/>
      <w:r>
        <w:rPr>
          <w:rFonts w:hint="eastAsia" w:ascii="黑体" w:hAnsi="黑体" w:eastAsia="黑体" w:cs="黑体"/>
          <w:b w:val="0"/>
          <w:bCs/>
          <w:sz w:val="30"/>
          <w:szCs w:val="30"/>
          <w:lang w:val="en-US" w:eastAsia="zh-CN"/>
        </w:rPr>
        <w:t>建成奖学金</w:t>
      </w:r>
      <w:bookmarkEnd w:id="30"/>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项目号：</w:t>
      </w:r>
      <w:r>
        <w:rPr>
          <w:rFonts w:hint="eastAsia" w:ascii="仿宋" w:hAnsi="仿宋" w:eastAsia="仿宋" w:cs="仿宋"/>
          <w:b w:val="0"/>
          <w:bCs w:val="0"/>
          <w:sz w:val="28"/>
          <w:szCs w:val="28"/>
          <w:lang w:val="en-US" w:eastAsia="zh-CN"/>
        </w:rPr>
        <w:t>01010126</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捐赠方：</w:t>
      </w:r>
      <w:r>
        <w:rPr>
          <w:rFonts w:hint="eastAsia" w:ascii="仿宋" w:hAnsi="仿宋" w:eastAsia="仿宋" w:cs="仿宋"/>
          <w:sz w:val="28"/>
          <w:szCs w:val="28"/>
        </w:rPr>
        <w:t xml:space="preserve">佳木斯建成建筑有限公司 </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评选范围：</w:t>
      </w:r>
      <w:r>
        <w:rPr>
          <w:rFonts w:hint="eastAsia" w:ascii="仿宋" w:hAnsi="仿宋" w:eastAsia="仿宋" w:cs="仿宋"/>
          <w:sz w:val="28"/>
          <w:szCs w:val="28"/>
        </w:rPr>
        <w:t>北京交通大学</w:t>
      </w:r>
      <w:r>
        <w:rPr>
          <w:rFonts w:hint="eastAsia" w:ascii="仿宋" w:hAnsi="仿宋" w:eastAsia="仿宋" w:cs="仿宋"/>
          <w:sz w:val="28"/>
          <w:szCs w:val="28"/>
          <w:lang w:eastAsia="zh-CN"/>
        </w:rPr>
        <w:t>电子信息学院</w:t>
      </w:r>
      <w:r>
        <w:rPr>
          <w:rFonts w:hint="eastAsia" w:ascii="仿宋" w:hAnsi="仿宋" w:eastAsia="仿宋" w:cs="仿宋"/>
          <w:sz w:val="28"/>
          <w:szCs w:val="28"/>
        </w:rPr>
        <w:t>品学兼优且家庭经济困难的全日制在校本科大一新</w:t>
      </w:r>
      <w:r>
        <w:rPr>
          <w:rFonts w:hint="eastAsia" w:ascii="仿宋" w:hAnsi="仿宋" w:eastAsia="仿宋" w:cs="仿宋"/>
          <w:sz w:val="28"/>
          <w:szCs w:val="28"/>
          <w:lang w:val="en-US" w:eastAsia="zh-CN"/>
        </w:rPr>
        <w:t>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名额及金额：</w:t>
      </w:r>
      <w:r>
        <w:rPr>
          <w:rFonts w:hint="eastAsia" w:ascii="仿宋" w:hAnsi="仿宋" w:eastAsia="仿宋" w:cs="仿宋"/>
          <w:sz w:val="28"/>
          <w:szCs w:val="28"/>
        </w:rPr>
        <w:t>助学金共资助2名同学，每人每年资助5000元，原则上连续资助四年</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评选条件：</w:t>
      </w:r>
    </w:p>
    <w:p>
      <w:pPr>
        <w:keepNext w:val="0"/>
        <w:keepLines w:val="0"/>
        <w:pageBreakBefore w:val="0"/>
        <w:widowControl w:val="0"/>
        <w:numPr>
          <w:ilvl w:val="0"/>
          <w:numId w:val="71"/>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热爱祖国，拥护中国共产党，自觉践行社会主义荣辱观和高等学校学生行为准则；</w:t>
      </w:r>
    </w:p>
    <w:p>
      <w:pPr>
        <w:keepNext w:val="0"/>
        <w:keepLines w:val="0"/>
        <w:pageBreakBefore w:val="0"/>
        <w:widowControl w:val="0"/>
        <w:numPr>
          <w:ilvl w:val="0"/>
          <w:numId w:val="71"/>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遵守国家法律法规和校规校纪，艰苦朴素，品行端正，无违法违纪行为； </w:t>
      </w:r>
    </w:p>
    <w:p>
      <w:pPr>
        <w:keepNext w:val="0"/>
        <w:keepLines w:val="0"/>
        <w:pageBreakBefore w:val="0"/>
        <w:widowControl w:val="0"/>
        <w:numPr>
          <w:ilvl w:val="0"/>
          <w:numId w:val="71"/>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资助期间内无挂科，或挂科不多于一门并参加补考后成绩合格；补考后成绩仍不合格，则暂停对该生的资助；</w:t>
      </w:r>
    </w:p>
    <w:p>
      <w:pPr>
        <w:keepNext w:val="0"/>
        <w:keepLines w:val="0"/>
        <w:pageBreakBefore w:val="0"/>
        <w:widowControl w:val="0"/>
        <w:numPr>
          <w:ilvl w:val="0"/>
          <w:numId w:val="71"/>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符合北京交通大学专项助学金其他评选基本条件。</w:t>
      </w:r>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 w:hAnsi="仿宋" w:eastAsia="仿宋" w:cs="仿宋"/>
          <w:b/>
          <w:bCs/>
          <w:sz w:val="28"/>
          <w:szCs w:val="28"/>
          <w:lang w:val="en-US" w:eastAsia="zh-CN"/>
        </w:rPr>
      </w:pPr>
    </w:p>
    <w:p>
      <w:pPr>
        <w:pStyle w:val="2"/>
        <w:keepNext/>
        <w:keepLines/>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Chars="0" w:right="0" w:rightChars="0"/>
        <w:jc w:val="both"/>
        <w:textAlignment w:val="auto"/>
        <w:outlineLvl w:val="0"/>
        <w:rPr>
          <w:rFonts w:hint="eastAsia" w:ascii="仿宋" w:hAnsi="仿宋" w:eastAsia="仿宋" w:cs="仿宋"/>
          <w:b w:val="0"/>
          <w:bCs/>
          <w:sz w:val="30"/>
          <w:szCs w:val="30"/>
          <w:lang w:val="en-US" w:eastAsia="zh-CN"/>
        </w:rPr>
      </w:pPr>
    </w:p>
    <w:p>
      <w:pPr>
        <w:pStyle w:val="2"/>
        <w:keepNext/>
        <w:keepLines/>
        <w:pageBreakBefore w:val="0"/>
        <w:widowControl w:val="0"/>
        <w:numPr>
          <w:ilvl w:val="0"/>
          <w:numId w:val="1"/>
        </w:numPr>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0"/>
        <w:rPr>
          <w:rFonts w:hint="eastAsia" w:ascii="黑体" w:hAnsi="黑体" w:eastAsia="黑体" w:cs="黑体"/>
          <w:b w:val="0"/>
          <w:bCs/>
          <w:sz w:val="30"/>
          <w:szCs w:val="30"/>
          <w:lang w:val="en-US" w:eastAsia="zh-CN"/>
        </w:rPr>
      </w:pPr>
      <w:bookmarkStart w:id="31" w:name="_Toc20088"/>
      <w:r>
        <w:rPr>
          <w:rFonts w:hint="eastAsia" w:ascii="黑体" w:hAnsi="黑体" w:eastAsia="黑体" w:cs="黑体"/>
          <w:b w:val="0"/>
          <w:bCs/>
          <w:sz w:val="30"/>
          <w:szCs w:val="30"/>
          <w:lang w:val="en-US" w:eastAsia="zh-CN"/>
        </w:rPr>
        <w:t>中信银行教育基金</w:t>
      </w:r>
      <w:bookmarkEnd w:id="31"/>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项目号：</w:t>
      </w:r>
      <w:r>
        <w:rPr>
          <w:rFonts w:hint="eastAsia" w:ascii="仿宋" w:hAnsi="仿宋" w:eastAsia="仿宋" w:cs="仿宋"/>
          <w:b w:val="0"/>
          <w:bCs w:val="0"/>
          <w:sz w:val="28"/>
          <w:szCs w:val="28"/>
          <w:lang w:val="en-US" w:eastAsia="zh-CN"/>
        </w:rPr>
        <w:t>99010125</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捐赠方：</w:t>
      </w:r>
      <w:r>
        <w:rPr>
          <w:rFonts w:hint="eastAsia" w:ascii="仿宋" w:hAnsi="仿宋" w:eastAsia="仿宋" w:cs="仿宋"/>
          <w:color w:val="292929"/>
          <w:sz w:val="28"/>
          <w:szCs w:val="28"/>
        </w:rPr>
        <w:t>中信银行股份有限公司总行营</w:t>
      </w:r>
      <w:r>
        <w:rPr>
          <w:rFonts w:hint="eastAsia" w:ascii="仿宋" w:hAnsi="仿宋" w:eastAsia="仿宋" w:cs="仿宋"/>
          <w:color w:val="5D5D5D"/>
          <w:sz w:val="28"/>
          <w:szCs w:val="28"/>
        </w:rPr>
        <w:t>业</w:t>
      </w:r>
      <w:r>
        <w:rPr>
          <w:rFonts w:hint="eastAsia" w:ascii="仿宋" w:hAnsi="仿宋" w:eastAsia="仿宋" w:cs="仿宋"/>
          <w:color w:val="292929"/>
          <w:sz w:val="28"/>
          <w:szCs w:val="28"/>
        </w:rPr>
        <w:t>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评选范围：</w:t>
      </w:r>
      <w:r>
        <w:rPr>
          <w:rFonts w:hint="eastAsia" w:ascii="仿宋" w:hAnsi="仿宋" w:eastAsia="仿宋" w:cs="仿宋"/>
          <w:color w:val="2D2D2D"/>
          <w:sz w:val="28"/>
          <w:szCs w:val="28"/>
        </w:rPr>
        <w:t>北京交通大学.</w:t>
      </w:r>
      <w:r>
        <w:rPr>
          <w:rFonts w:hint="eastAsia" w:ascii="仿宋" w:hAnsi="仿宋" w:eastAsia="仿宋" w:cs="仿宋"/>
          <w:color w:val="000000"/>
          <w:sz w:val="28"/>
          <w:szCs w:val="28"/>
        </w:rPr>
        <w:t>全</w:t>
      </w:r>
      <w:r>
        <w:rPr>
          <w:rFonts w:hint="eastAsia" w:ascii="仿宋" w:hAnsi="仿宋" w:eastAsia="仿宋" w:cs="仿宋"/>
          <w:color w:val="2D2D2D"/>
          <w:sz w:val="28"/>
          <w:szCs w:val="28"/>
        </w:rPr>
        <w:t>日制在校基础学制年限内的家庭经济困难本科</w:t>
      </w:r>
      <w:r>
        <w:rPr>
          <w:rFonts w:hint="eastAsia" w:ascii="仿宋" w:hAnsi="仿宋" w:eastAsia="仿宋" w:cs="仿宋"/>
          <w:color w:val="535353"/>
          <w:sz w:val="28"/>
          <w:szCs w:val="28"/>
        </w:rPr>
        <w:t>生</w:t>
      </w:r>
      <w:r>
        <w:rPr>
          <w:rFonts w:hint="eastAsia" w:ascii="仿宋" w:hAnsi="仿宋" w:eastAsia="仿宋" w:cs="仿宋"/>
          <w:color w:val="2D2D2D"/>
          <w:sz w:val="28"/>
          <w:szCs w:val="28"/>
        </w:rPr>
        <w:t>和研究生</w:t>
      </w:r>
      <w:r>
        <w:rPr>
          <w:rFonts w:hint="eastAsia" w:ascii="仿宋" w:hAnsi="仿宋" w:eastAsia="仿宋" w:cs="仿宋"/>
          <w:color w:val="000000"/>
          <w:sz w:val="28"/>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28"/>
          <w:szCs w:val="28"/>
        </w:rPr>
      </w:pPr>
      <w:r>
        <w:rPr>
          <w:rFonts w:hint="eastAsia" w:ascii="仿宋" w:hAnsi="仿宋" w:eastAsia="仿宋" w:cs="仿宋"/>
          <w:b/>
          <w:bCs/>
          <w:sz w:val="28"/>
          <w:szCs w:val="28"/>
          <w:lang w:val="en-US" w:eastAsia="zh-CN"/>
        </w:rPr>
        <w:t>名额及金额：</w:t>
      </w:r>
      <w:r>
        <w:rPr>
          <w:rFonts w:hint="eastAsia" w:ascii="仿宋" w:hAnsi="仿宋" w:eastAsia="仿宋" w:cs="仿宋"/>
          <w:sz w:val="28"/>
          <w:szCs w:val="28"/>
        </w:rPr>
        <w:t>共35</w:t>
      </w:r>
      <w:r>
        <w:rPr>
          <w:rFonts w:hint="eastAsia" w:ascii="仿宋" w:hAnsi="仿宋" w:eastAsia="仿宋" w:cs="仿宋"/>
          <w:sz w:val="28"/>
          <w:szCs w:val="28"/>
          <w:lang w:val="en-US" w:eastAsia="zh-CN"/>
        </w:rPr>
        <w:t>人</w:t>
      </w:r>
      <w:r>
        <w:rPr>
          <w:rFonts w:hint="eastAsia" w:ascii="仿宋" w:hAnsi="仿宋" w:eastAsia="仿宋" w:cs="仿宋"/>
          <w:sz w:val="28"/>
          <w:szCs w:val="28"/>
        </w:rPr>
        <w:t>,其中12名特别困难、11名比较困难和12名困难的学生,</w:t>
      </w:r>
      <w:r>
        <w:rPr>
          <w:rFonts w:hint="eastAsia" w:ascii="仿宋" w:hAnsi="仿宋" w:eastAsia="仿宋" w:cs="仿宋"/>
          <w:sz w:val="28"/>
          <w:szCs w:val="28"/>
          <w:lang w:val="en-US" w:eastAsia="zh-CN"/>
        </w:rPr>
        <w:t>分别为</w:t>
      </w:r>
      <w:r>
        <w:rPr>
          <w:rFonts w:hint="eastAsia" w:ascii="仿宋" w:hAnsi="仿宋" w:eastAsia="仿宋" w:cs="仿宋"/>
          <w:sz w:val="28"/>
          <w:szCs w:val="28"/>
        </w:rPr>
        <w:t>每人每年5000元、4000元和3000元,共计14万元;中信银行研究生奖学金:奖励学习成绩优秀、综合素质突出且家庭经济困难的研究生,共计15名,每人每年4000元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评选条件：</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本科生助学金</w:t>
      </w:r>
    </w:p>
    <w:p>
      <w:pPr>
        <w:keepNext w:val="0"/>
        <w:keepLines w:val="0"/>
        <w:pageBreakBefore w:val="0"/>
        <w:widowControl w:val="0"/>
        <w:numPr>
          <w:ilvl w:val="0"/>
          <w:numId w:val="72"/>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連守国家法律法规和校纪校规,品行端正,无违法乱纪行为;</w:t>
      </w:r>
    </w:p>
    <w:p>
      <w:pPr>
        <w:keepNext w:val="0"/>
        <w:keepLines w:val="0"/>
        <w:pageBreakBefore w:val="0"/>
        <w:widowControl w:val="0"/>
        <w:numPr>
          <w:ilvl w:val="0"/>
          <w:numId w:val="72"/>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经学校认定为家庭经济特别困难、比较困难和困难的学生;</w:t>
      </w:r>
    </w:p>
    <w:p>
      <w:pPr>
        <w:keepNext w:val="0"/>
        <w:keepLines w:val="0"/>
        <w:pageBreakBefore w:val="0"/>
        <w:widowControl w:val="0"/>
        <w:numPr>
          <w:ilvl w:val="0"/>
          <w:numId w:val="72"/>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申请学年学习成绩优良,无不及格现象且加权平均学习成绩居专业前5o%,或表现出良好的科研能力并取得一定的研究成果。 同等条件下,学习优秀者优先。</w:t>
      </w:r>
    </w:p>
    <w:p>
      <w:pPr>
        <w:keepNext w:val="0"/>
        <w:keepLines w:val="0"/>
        <w:pageBreakBefore w:val="0"/>
        <w:widowControl w:val="0"/>
        <w:numPr>
          <w:ilvl w:val="0"/>
          <w:numId w:val="72"/>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原获奖学生如未获得更高奖项，且仍满足资助条件，即可继续获得该项助学金，如困难等级上升，也可升档。</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研究生奖学金</w:t>
      </w:r>
    </w:p>
    <w:p>
      <w:pPr>
        <w:keepNext w:val="0"/>
        <w:keepLines w:val="0"/>
        <w:pageBreakBefore w:val="0"/>
        <w:widowControl w:val="0"/>
        <w:numPr>
          <w:ilvl w:val="0"/>
          <w:numId w:val="73"/>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热爱社会主义祖国,拥护中国共产党的领导;連守国家法律法规和校纪校规,诚实.守信,道德品质优良;勤奋学习,积极上进;家庭经济困难,生活俭朴;</w:t>
      </w:r>
    </w:p>
    <w:p>
      <w:pPr>
        <w:keepNext w:val="0"/>
        <w:keepLines w:val="0"/>
        <w:pageBreakBefore w:val="0"/>
        <w:widowControl w:val="0"/>
        <w:numPr>
          <w:ilvl w:val="0"/>
          <w:numId w:val="73"/>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经学校认定为家庭经济困难的研究生;</w:t>
      </w:r>
    </w:p>
    <w:p>
      <w:pPr>
        <w:keepNext w:val="0"/>
        <w:keepLines w:val="0"/>
        <w:pageBreakBefore w:val="0"/>
        <w:widowControl w:val="0"/>
        <w:numPr>
          <w:ilvl w:val="0"/>
          <w:numId w:val="73"/>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申请学年学习、科研成绩优良,同等条件下,积极参加社会服务工作且效果良好者优先, 具体由各学院结合学科特点在实施细则中明确;</w:t>
      </w:r>
    </w:p>
    <w:p>
      <w:pPr>
        <w:keepNext w:val="0"/>
        <w:keepLines w:val="0"/>
        <w:pageBreakBefore w:val="0"/>
        <w:widowControl w:val="0"/>
        <w:numPr>
          <w:ilvl w:val="0"/>
          <w:numId w:val="73"/>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研究生在校期间只能获得一次奖励；</w:t>
      </w:r>
    </w:p>
    <w:p>
      <w:pPr>
        <w:keepNext w:val="0"/>
        <w:keepLines w:val="0"/>
        <w:pageBreakBefore w:val="0"/>
        <w:widowControl w:val="0"/>
        <w:numPr>
          <w:ilvl w:val="0"/>
          <w:numId w:val="73"/>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原获奖学生如未获得更高奖项，且仍满足资助条件，即可继续获得该项奖学金。</w:t>
      </w:r>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 w:hAnsi="仿宋" w:eastAsia="仿宋" w:cs="仿宋"/>
          <w:b/>
          <w:bCs/>
          <w:sz w:val="28"/>
          <w:szCs w:val="28"/>
          <w:lang w:val="en-US" w:eastAsia="zh-CN"/>
        </w:rPr>
      </w:pPr>
    </w:p>
    <w:p>
      <w:pPr>
        <w:pStyle w:val="2"/>
        <w:keepNext/>
        <w:keepLines/>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Chars="0" w:right="0" w:rightChars="0"/>
        <w:jc w:val="both"/>
        <w:textAlignment w:val="auto"/>
        <w:outlineLvl w:val="0"/>
        <w:rPr>
          <w:rFonts w:hint="eastAsia" w:ascii="仿宋" w:hAnsi="仿宋" w:eastAsia="仿宋" w:cs="仿宋"/>
          <w:b w:val="0"/>
          <w:bCs/>
          <w:sz w:val="30"/>
          <w:szCs w:val="30"/>
          <w:lang w:val="en-US" w:eastAsia="zh-CN"/>
        </w:rPr>
      </w:pPr>
    </w:p>
    <w:p>
      <w:pPr>
        <w:pStyle w:val="2"/>
        <w:keepNext/>
        <w:keepLines/>
        <w:pageBreakBefore w:val="0"/>
        <w:widowControl w:val="0"/>
        <w:numPr>
          <w:ilvl w:val="0"/>
          <w:numId w:val="1"/>
        </w:numPr>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0"/>
        <w:rPr>
          <w:rFonts w:hint="eastAsia" w:ascii="黑体" w:hAnsi="黑体" w:eastAsia="黑体" w:cs="黑体"/>
          <w:b w:val="0"/>
          <w:bCs/>
          <w:sz w:val="30"/>
          <w:szCs w:val="30"/>
          <w:lang w:val="en-US" w:eastAsia="zh-CN"/>
        </w:rPr>
      </w:pPr>
      <w:bookmarkStart w:id="32" w:name="_Toc20990"/>
      <w:r>
        <w:rPr>
          <w:rFonts w:hint="eastAsia" w:ascii="黑体" w:hAnsi="黑体" w:eastAsia="黑体" w:cs="黑体"/>
          <w:b w:val="0"/>
          <w:bCs/>
          <w:sz w:val="30"/>
          <w:szCs w:val="30"/>
          <w:lang w:val="en-US" w:eastAsia="zh-CN"/>
        </w:rPr>
        <w:t>微诺时代教育基金</w:t>
      </w:r>
      <w:bookmarkEnd w:id="32"/>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项目号：</w:t>
      </w:r>
      <w:r>
        <w:rPr>
          <w:rFonts w:hint="eastAsia" w:ascii="仿宋" w:hAnsi="仿宋" w:eastAsia="仿宋" w:cs="仿宋"/>
          <w:b w:val="0"/>
          <w:bCs w:val="0"/>
          <w:sz w:val="28"/>
          <w:szCs w:val="28"/>
          <w:lang w:val="en-US" w:eastAsia="zh-CN"/>
        </w:rPr>
        <w:t>06010124</w:t>
      </w:r>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捐赠方：</w:t>
      </w:r>
      <w:r>
        <w:rPr>
          <w:rFonts w:hint="eastAsia" w:ascii="仿宋_GB2312" w:eastAsia="仿宋_GB2312" w:cs="仿宋_GB2312"/>
          <w:sz w:val="28"/>
          <w:szCs w:val="28"/>
          <w:lang w:val="en-US" w:eastAsia="zh-CN"/>
        </w:rPr>
        <w:t>微诺时代（北京）科技股份有限公司</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28"/>
          <w:szCs w:val="28"/>
          <w:lang w:val="en-US" w:eastAsia="zh-CN"/>
        </w:rPr>
      </w:pPr>
      <w:r>
        <w:rPr>
          <w:rFonts w:hint="eastAsia" w:ascii="仿宋" w:hAnsi="仿宋" w:eastAsia="仿宋" w:cs="仿宋"/>
          <w:b/>
          <w:bCs/>
          <w:sz w:val="28"/>
          <w:szCs w:val="28"/>
          <w:lang w:eastAsia="zh-CN"/>
        </w:rPr>
        <w:t>评选范围：</w:t>
      </w:r>
      <w:r>
        <w:rPr>
          <w:rFonts w:hint="eastAsia" w:ascii="仿宋" w:hAnsi="仿宋" w:eastAsia="仿宋" w:cs="仿宋"/>
          <w:sz w:val="28"/>
          <w:szCs w:val="28"/>
        </w:rPr>
        <w:t>北京交通大学在校全日制本科生</w:t>
      </w:r>
      <w:r>
        <w:rPr>
          <w:rFonts w:hint="eastAsia" w:ascii="仿宋" w:hAnsi="仿宋" w:eastAsia="仿宋" w:cs="仿宋"/>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28"/>
          <w:szCs w:val="28"/>
        </w:rPr>
      </w:pPr>
      <w:r>
        <w:rPr>
          <w:rFonts w:hint="eastAsia" w:ascii="仿宋" w:hAnsi="仿宋" w:eastAsia="仿宋" w:cs="仿宋"/>
          <w:b/>
          <w:bCs/>
          <w:sz w:val="28"/>
          <w:szCs w:val="28"/>
          <w:lang w:val="en-US" w:eastAsia="zh-CN"/>
        </w:rPr>
        <w:t>名额及金额：</w:t>
      </w:r>
      <w:r>
        <w:rPr>
          <w:rFonts w:hint="eastAsia" w:ascii="仿宋" w:hAnsi="仿宋" w:eastAsia="仿宋" w:cs="仿宋"/>
          <w:sz w:val="28"/>
          <w:szCs w:val="28"/>
          <w:lang w:val="en-US" w:eastAsia="zh-CN"/>
        </w:rPr>
        <w:t>共</w:t>
      </w:r>
      <w:r>
        <w:rPr>
          <w:rFonts w:hint="eastAsia" w:ascii="仿宋" w:hAnsi="仿宋" w:eastAsia="仿宋" w:cs="仿宋"/>
          <w:sz w:val="28"/>
          <w:szCs w:val="28"/>
        </w:rPr>
        <w:t>10</w:t>
      </w:r>
      <w:r>
        <w:rPr>
          <w:rFonts w:hint="eastAsia" w:ascii="仿宋" w:hAnsi="仿宋" w:eastAsia="仿宋" w:cs="仿宋"/>
          <w:sz w:val="28"/>
          <w:szCs w:val="28"/>
          <w:lang w:val="en-US" w:eastAsia="zh-CN"/>
        </w:rPr>
        <w:t>人</w:t>
      </w:r>
      <w:r>
        <w:rPr>
          <w:rFonts w:hint="eastAsia" w:ascii="仿宋" w:hAnsi="仿宋" w:eastAsia="仿宋" w:cs="仿宋"/>
          <w:sz w:val="28"/>
          <w:szCs w:val="28"/>
        </w:rPr>
        <w:t>，其中电子信息工程学院</w:t>
      </w:r>
      <w:r>
        <w:rPr>
          <w:rFonts w:hint="eastAsia" w:ascii="仿宋" w:hAnsi="仿宋" w:eastAsia="仿宋" w:cs="仿宋"/>
          <w:sz w:val="28"/>
          <w:szCs w:val="28"/>
          <w:lang w:val="en-US" w:eastAsia="zh-CN"/>
        </w:rPr>
        <w:t>6</w:t>
      </w:r>
      <w:r>
        <w:rPr>
          <w:rFonts w:hint="eastAsia" w:ascii="仿宋" w:hAnsi="仿宋" w:eastAsia="仿宋" w:cs="仿宋"/>
          <w:sz w:val="28"/>
          <w:szCs w:val="28"/>
          <w:lang w:eastAsia="zh-CN"/>
        </w:rPr>
        <w:t>名</w:t>
      </w:r>
      <w:r>
        <w:rPr>
          <w:rFonts w:hint="eastAsia" w:ascii="仿宋" w:hAnsi="仿宋" w:eastAsia="仿宋" w:cs="仿宋"/>
          <w:sz w:val="28"/>
          <w:szCs w:val="28"/>
        </w:rPr>
        <w:t>、计算机与信息技术学院</w:t>
      </w: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名</w:t>
      </w:r>
      <w:r>
        <w:rPr>
          <w:rFonts w:hint="eastAsia" w:ascii="仿宋" w:hAnsi="仿宋" w:eastAsia="仿宋" w:cs="仿宋"/>
          <w:sz w:val="28"/>
          <w:szCs w:val="28"/>
        </w:rPr>
        <w:t>、软件学院</w:t>
      </w: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名</w:t>
      </w:r>
      <w:r>
        <w:rPr>
          <w:rFonts w:hint="eastAsia" w:ascii="仿宋" w:hAnsi="仿宋" w:eastAsia="仿宋" w:cs="仿宋"/>
          <w:sz w:val="28"/>
          <w:szCs w:val="28"/>
        </w:rPr>
        <w:t>，5000元/人·年</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评选条件：</w:t>
      </w:r>
    </w:p>
    <w:p>
      <w:pPr>
        <w:keepNext w:val="0"/>
        <w:keepLines w:val="0"/>
        <w:pageBreakBefore w:val="0"/>
        <w:widowControl w:val="0"/>
        <w:numPr>
          <w:ilvl w:val="0"/>
          <w:numId w:val="74"/>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思想进步，热爱祖国，热爱中国共产党；</w:t>
      </w:r>
    </w:p>
    <w:p>
      <w:pPr>
        <w:keepNext w:val="0"/>
        <w:keepLines w:val="0"/>
        <w:pageBreakBefore w:val="0"/>
        <w:widowControl w:val="0"/>
        <w:numPr>
          <w:ilvl w:val="0"/>
          <w:numId w:val="74"/>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遵守国家法律法规和校纪校规，品行端正，无违法乱纪行为；</w:t>
      </w:r>
    </w:p>
    <w:p>
      <w:pPr>
        <w:keepNext w:val="0"/>
        <w:keepLines w:val="0"/>
        <w:pageBreakBefore w:val="0"/>
        <w:widowControl w:val="0"/>
        <w:numPr>
          <w:ilvl w:val="0"/>
          <w:numId w:val="74"/>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学习勤奋刻苦，加权平均学习成绩居专业前50%；</w:t>
      </w:r>
    </w:p>
    <w:p>
      <w:pPr>
        <w:keepNext w:val="0"/>
        <w:keepLines w:val="0"/>
        <w:pageBreakBefore w:val="0"/>
        <w:widowControl w:val="0"/>
        <w:numPr>
          <w:ilvl w:val="0"/>
          <w:numId w:val="74"/>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具有较高的综合素质和创新能力潜质。</w:t>
      </w:r>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 w:hAnsi="仿宋" w:eastAsia="仿宋" w:cs="仿宋"/>
          <w:b/>
          <w:bCs/>
          <w:sz w:val="28"/>
          <w:szCs w:val="28"/>
          <w:lang w:val="en-US" w:eastAsia="zh-CN"/>
        </w:rPr>
      </w:pPr>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 w:hAnsi="仿宋" w:eastAsia="仿宋" w:cs="仿宋"/>
          <w:b/>
          <w:bCs/>
          <w:sz w:val="28"/>
          <w:szCs w:val="28"/>
          <w:lang w:val="en-US" w:eastAsia="zh-CN"/>
        </w:rPr>
      </w:pPr>
    </w:p>
    <w:p>
      <w:pPr>
        <w:pStyle w:val="2"/>
        <w:keepNext/>
        <w:keepLines/>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Chars="0" w:right="0" w:rightChars="0"/>
        <w:jc w:val="both"/>
        <w:textAlignment w:val="auto"/>
        <w:outlineLvl w:val="0"/>
        <w:rPr>
          <w:rFonts w:hint="eastAsia" w:ascii="仿宋" w:hAnsi="仿宋" w:eastAsia="仿宋" w:cs="仿宋"/>
          <w:b w:val="0"/>
          <w:bCs/>
          <w:sz w:val="30"/>
          <w:szCs w:val="30"/>
          <w:lang w:val="en-US" w:eastAsia="zh-CN"/>
        </w:rPr>
      </w:pPr>
    </w:p>
    <w:p>
      <w:pPr>
        <w:pStyle w:val="2"/>
        <w:keepNext/>
        <w:keepLines/>
        <w:pageBreakBefore w:val="0"/>
        <w:widowControl w:val="0"/>
        <w:numPr>
          <w:ilvl w:val="0"/>
          <w:numId w:val="1"/>
        </w:numPr>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0"/>
        <w:rPr>
          <w:rFonts w:hint="eastAsia" w:ascii="黑体" w:hAnsi="黑体" w:eastAsia="黑体" w:cs="黑体"/>
          <w:b w:val="0"/>
          <w:bCs/>
          <w:sz w:val="30"/>
          <w:szCs w:val="30"/>
          <w:lang w:val="en-US" w:eastAsia="zh-CN"/>
        </w:rPr>
      </w:pPr>
      <w:bookmarkStart w:id="33" w:name="_Toc7543"/>
      <w:r>
        <w:rPr>
          <w:rFonts w:hint="eastAsia" w:ascii="黑体" w:hAnsi="黑体" w:eastAsia="黑体" w:cs="黑体"/>
          <w:b w:val="0"/>
          <w:bCs/>
          <w:sz w:val="30"/>
          <w:szCs w:val="30"/>
          <w:lang w:val="en-US" w:eastAsia="zh-CN"/>
        </w:rPr>
        <w:t>智诚智达教育基金</w:t>
      </w:r>
      <w:bookmarkEnd w:id="33"/>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项目号：</w:t>
      </w:r>
      <w:r>
        <w:rPr>
          <w:rFonts w:hint="eastAsia" w:ascii="仿宋" w:hAnsi="仿宋" w:eastAsia="仿宋" w:cs="仿宋"/>
          <w:b w:val="0"/>
          <w:bCs w:val="0"/>
          <w:sz w:val="28"/>
          <w:szCs w:val="28"/>
          <w:lang w:val="en-US" w:eastAsia="zh-CN"/>
        </w:rPr>
        <w:t>04010127</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捐赠方：</w:t>
      </w:r>
      <w:r>
        <w:rPr>
          <w:rFonts w:hint="eastAsia" w:ascii="仿宋" w:hAnsi="仿宋" w:eastAsia="仿宋" w:cs="仿宋"/>
          <w:sz w:val="28"/>
          <w:szCs w:val="28"/>
        </w:rPr>
        <w:t>北京智诚智达交通科技有限公司</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评选范围：</w:t>
      </w:r>
      <w:r>
        <w:rPr>
          <w:rFonts w:hint="eastAsia" w:ascii="仿宋" w:hAnsi="仿宋" w:eastAsia="仿宋" w:cs="仿宋"/>
          <w:sz w:val="28"/>
          <w:szCs w:val="28"/>
          <w:lang w:eastAsia="zh-CN"/>
        </w:rPr>
        <w:t>交通运输学院</w:t>
      </w:r>
      <w:r>
        <w:rPr>
          <w:rFonts w:hint="eastAsia" w:ascii="仿宋" w:hAnsi="仿宋" w:eastAsia="仿宋" w:cs="仿宋"/>
          <w:sz w:val="28"/>
          <w:szCs w:val="28"/>
        </w:rPr>
        <w:t>交通运输工程和交通运输规划与管理专业成绩优异、综合素质突出的在校优秀研究生。</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28"/>
          <w:szCs w:val="28"/>
        </w:rPr>
      </w:pPr>
      <w:r>
        <w:rPr>
          <w:rFonts w:hint="eastAsia" w:ascii="仿宋" w:hAnsi="仿宋" w:eastAsia="仿宋" w:cs="仿宋"/>
          <w:b/>
          <w:bCs/>
          <w:sz w:val="28"/>
          <w:szCs w:val="28"/>
          <w:lang w:val="en-US" w:eastAsia="zh-CN"/>
        </w:rPr>
        <w:t>名额及金额：</w:t>
      </w:r>
      <w:r>
        <w:rPr>
          <w:rFonts w:hint="eastAsia" w:ascii="仿宋" w:hAnsi="仿宋" w:eastAsia="仿宋" w:cs="仿宋"/>
          <w:sz w:val="28"/>
          <w:szCs w:val="28"/>
          <w:lang w:val="en-US" w:eastAsia="zh-CN"/>
        </w:rPr>
        <w:t>共</w:t>
      </w:r>
      <w:r>
        <w:rPr>
          <w:rFonts w:hint="eastAsia" w:ascii="仿宋" w:hAnsi="仿宋" w:eastAsia="仿宋" w:cs="仿宋"/>
          <w:sz w:val="28"/>
          <w:szCs w:val="28"/>
        </w:rPr>
        <w:t>10人，5000</w:t>
      </w:r>
      <w:r>
        <w:rPr>
          <w:rFonts w:hint="eastAsia" w:ascii="仿宋" w:hAnsi="仿宋" w:eastAsia="仿宋" w:cs="仿宋"/>
          <w:sz w:val="28"/>
          <w:szCs w:val="28"/>
          <w:lang w:val="en-US" w:eastAsia="zh-CN"/>
        </w:rPr>
        <w:t>元/人˙年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评选条件：</w:t>
      </w:r>
    </w:p>
    <w:p>
      <w:pPr>
        <w:keepNext w:val="0"/>
        <w:keepLines w:val="0"/>
        <w:pageBreakBefore w:val="0"/>
        <w:widowControl w:val="0"/>
        <w:numPr>
          <w:ilvl w:val="0"/>
          <w:numId w:val="75"/>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热爱祖国，遵守国家法律、法规、严格遵守《研究生手册》及学校的各项规章制度；尊敬师长，团结同学，关心集体，助人为乐，积极参加集体活动，思想品德优良；</w:t>
      </w:r>
    </w:p>
    <w:p>
      <w:pPr>
        <w:keepNext w:val="0"/>
        <w:keepLines w:val="0"/>
        <w:pageBreakBefore w:val="0"/>
        <w:widowControl w:val="0"/>
        <w:numPr>
          <w:ilvl w:val="0"/>
          <w:numId w:val="75"/>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努力学习马克思列宁主义、毛泽东思想，邓小平理论和“三个代表”重要思想，认真贯彻落实科学发展观，关心时事政治，不断提高政治觉悟，坚定走社会主义道路的信念；</w:t>
      </w:r>
    </w:p>
    <w:p>
      <w:pPr>
        <w:keepNext w:val="0"/>
        <w:keepLines w:val="0"/>
        <w:pageBreakBefore w:val="0"/>
        <w:widowControl w:val="0"/>
        <w:numPr>
          <w:ilvl w:val="0"/>
          <w:numId w:val="75"/>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参评对象为交通运输学院交通运输工程专硕和交通运输规划与管理专业成绩突出、综合素质全面的基础学制范围内的在校优秀研究生。在遵循学校整体分配指标的基础上，具体名额由学院和捐赠单位协商确定，根据学术成果突出或综合测评结果给予确定。</w:t>
      </w:r>
    </w:p>
    <w:p>
      <w:pPr>
        <w:keepNext w:val="0"/>
        <w:keepLines w:val="0"/>
        <w:pageBreakBefore w:val="0"/>
        <w:widowControl w:val="0"/>
        <w:numPr>
          <w:ilvl w:val="0"/>
          <w:numId w:val="75"/>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学习认真勤奋，科研工作严谨求实，积极实践，勇于创新，成绩优良，评比年度内评选人员均无挂科。</w:t>
      </w:r>
    </w:p>
    <w:p>
      <w:pPr>
        <w:keepNext w:val="0"/>
        <w:keepLines w:val="0"/>
        <w:pageBreakBefore w:val="0"/>
        <w:widowControl w:val="0"/>
        <w:numPr>
          <w:ilvl w:val="0"/>
          <w:numId w:val="75"/>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积极参加体育锻炼，身心健康；</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若有下列情况之一，不得申报该专项奖学金：</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评比年度内受到学校违纪处分，或学院通报批评者</w:t>
      </w:r>
      <w:r>
        <w:rPr>
          <w:rFonts w:hint="eastAsia" w:ascii="仿宋" w:hAnsi="仿宋" w:eastAsia="仿宋" w:cs="仿宋"/>
          <w:sz w:val="28"/>
          <w:szCs w:val="28"/>
          <w:lang w:eastAsia="zh-CN"/>
        </w:rPr>
        <w:t>。</w:t>
      </w:r>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 w:hAnsi="仿宋" w:eastAsia="仿宋" w:cs="仿宋"/>
          <w:b/>
          <w:bCs/>
          <w:sz w:val="28"/>
          <w:szCs w:val="28"/>
          <w:lang w:val="en-US" w:eastAsia="zh-CN"/>
        </w:rPr>
      </w:pPr>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 w:hAnsi="仿宋" w:eastAsia="仿宋" w:cs="仿宋"/>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28"/>
          <w:szCs w:val="28"/>
          <w:lang w:val="en-US" w:eastAsia="zh-CN"/>
        </w:rPr>
      </w:pPr>
    </w:p>
    <w:p>
      <w:pPr>
        <w:pStyle w:val="2"/>
        <w:keepNext/>
        <w:keepLines/>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Chars="0" w:right="0" w:rightChars="0"/>
        <w:jc w:val="both"/>
        <w:textAlignment w:val="auto"/>
        <w:outlineLvl w:val="0"/>
        <w:rPr>
          <w:rFonts w:hint="eastAsia" w:ascii="仿宋" w:hAnsi="仿宋" w:eastAsia="仿宋" w:cs="仿宋"/>
          <w:b w:val="0"/>
          <w:bCs/>
          <w:sz w:val="30"/>
          <w:szCs w:val="30"/>
          <w:lang w:val="en-US" w:eastAsia="zh-CN"/>
        </w:rPr>
      </w:pPr>
    </w:p>
    <w:p>
      <w:pPr>
        <w:pStyle w:val="2"/>
        <w:keepNext/>
        <w:keepLines/>
        <w:pageBreakBefore w:val="0"/>
        <w:widowControl w:val="0"/>
        <w:numPr>
          <w:ilvl w:val="0"/>
          <w:numId w:val="1"/>
        </w:numPr>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0"/>
        <w:rPr>
          <w:rFonts w:hint="eastAsia" w:ascii="黑体" w:hAnsi="黑体" w:eastAsia="黑体" w:cs="黑体"/>
          <w:b w:val="0"/>
          <w:bCs/>
          <w:sz w:val="30"/>
          <w:szCs w:val="30"/>
          <w:lang w:val="en-US" w:eastAsia="zh-CN"/>
        </w:rPr>
      </w:pPr>
      <w:bookmarkStart w:id="34" w:name="_Toc28830"/>
      <w:r>
        <w:rPr>
          <w:rFonts w:hint="eastAsia" w:ascii="黑体" w:hAnsi="黑体" w:eastAsia="黑体" w:cs="黑体"/>
          <w:b w:val="0"/>
          <w:bCs/>
          <w:sz w:val="30"/>
          <w:szCs w:val="30"/>
          <w:lang w:val="en-US" w:eastAsia="zh-CN"/>
        </w:rPr>
        <w:t>交达教育基金</w:t>
      </w:r>
      <w:bookmarkEnd w:id="34"/>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项目号：</w:t>
      </w:r>
      <w:r>
        <w:rPr>
          <w:rFonts w:hint="eastAsia" w:ascii="仿宋" w:hAnsi="仿宋" w:eastAsia="仿宋" w:cs="仿宋"/>
          <w:b w:val="0"/>
          <w:bCs w:val="0"/>
          <w:sz w:val="28"/>
          <w:szCs w:val="28"/>
          <w:lang w:val="en-US" w:eastAsia="zh-CN"/>
        </w:rPr>
        <w:t>05010128</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捐赠方：</w:t>
      </w:r>
      <w:r>
        <w:rPr>
          <w:rFonts w:hint="eastAsia" w:ascii="仿宋" w:hAnsi="仿宋" w:eastAsia="仿宋" w:cs="仿宋"/>
          <w:sz w:val="28"/>
          <w:szCs w:val="28"/>
          <w:lang w:eastAsia="zh-CN"/>
        </w:rPr>
        <w:t>北京交达工程管理集团有限公司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评选范围：</w:t>
      </w:r>
      <w:r>
        <w:rPr>
          <w:rFonts w:hint="eastAsia" w:ascii="仿宋" w:hAnsi="仿宋" w:eastAsia="仿宋" w:cs="仿宋"/>
          <w:sz w:val="28"/>
          <w:szCs w:val="28"/>
          <w:lang w:val="en-US" w:eastAsia="zh-CN"/>
        </w:rPr>
        <w:t>北京交通大学</w:t>
      </w:r>
      <w:r>
        <w:rPr>
          <w:rFonts w:hint="eastAsia" w:ascii="仿宋" w:hAnsi="仿宋" w:eastAsia="仿宋" w:cs="仿宋"/>
          <w:sz w:val="28"/>
          <w:szCs w:val="28"/>
          <w:lang w:eastAsia="zh-CN"/>
        </w:rPr>
        <w:t>土建学院二、三、四年级本科生</w:t>
      </w:r>
      <w:r>
        <w:rPr>
          <w:rFonts w:hint="eastAsia" w:ascii="仿宋" w:hAnsi="仿宋" w:eastAsia="仿宋" w:cs="仿宋"/>
          <w:sz w:val="28"/>
          <w:szCs w:val="28"/>
          <w:lang w:val="en-US" w:eastAsia="zh-CN"/>
        </w:rPr>
        <w:t>和硕士研究生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eastAsia" w:ascii="仿宋" w:hAnsi="仿宋" w:eastAsia="仿宋" w:cs="仿宋"/>
          <w:sz w:val="28"/>
          <w:szCs w:val="28"/>
          <w:lang w:eastAsia="zh-CN"/>
        </w:rPr>
      </w:pPr>
      <w:r>
        <w:rPr>
          <w:rFonts w:hint="eastAsia" w:ascii="仿宋" w:hAnsi="仿宋" w:eastAsia="仿宋" w:cs="仿宋"/>
          <w:b/>
          <w:bCs/>
          <w:sz w:val="28"/>
          <w:szCs w:val="28"/>
          <w:lang w:val="en-US" w:eastAsia="zh-CN"/>
        </w:rPr>
        <w:t>名额及金额：</w:t>
      </w:r>
      <w:r>
        <w:rPr>
          <w:rFonts w:hint="eastAsia" w:ascii="仿宋" w:hAnsi="仿宋" w:eastAsia="仿宋" w:cs="仿宋"/>
          <w:sz w:val="28"/>
          <w:szCs w:val="28"/>
          <w:lang w:val="en-US" w:eastAsia="zh-CN"/>
        </w:rPr>
        <w:t>5名本科生和5名硕士研究生，共10人，5000元/人˙年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评选条件：</w:t>
      </w:r>
    </w:p>
    <w:p>
      <w:pPr>
        <w:keepNext w:val="0"/>
        <w:keepLines w:val="0"/>
        <w:pageBreakBefore w:val="0"/>
        <w:widowControl w:val="0"/>
        <w:numPr>
          <w:ilvl w:val="0"/>
          <w:numId w:val="76"/>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热爱社会主义祖国,拥护中国共产党,有正确坚定的政治信念,有为建设社会主义现代化强国而奋斗的理想；</w:t>
      </w:r>
    </w:p>
    <w:p>
      <w:pPr>
        <w:keepNext w:val="0"/>
        <w:keepLines w:val="0"/>
        <w:pageBreakBefore w:val="0"/>
        <w:widowControl w:val="0"/>
        <w:numPr>
          <w:ilvl w:val="0"/>
          <w:numId w:val="76"/>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政治表现好,思想积极向上,有良好的道德修养,诚实守信, 連守国家的法律法规和学校的规章制度；</w:t>
      </w:r>
    </w:p>
    <w:p>
      <w:pPr>
        <w:keepNext w:val="0"/>
        <w:keepLines w:val="0"/>
        <w:pageBreakBefore w:val="0"/>
        <w:widowControl w:val="0"/>
        <w:numPr>
          <w:ilvl w:val="0"/>
          <w:numId w:val="76"/>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热爱所学专业,学习勤奋刻苦,学习成绩优秀,符合学校获取奖学金的有关条件；</w:t>
      </w:r>
    </w:p>
    <w:p>
      <w:pPr>
        <w:keepNext w:val="0"/>
        <w:keepLines w:val="0"/>
        <w:pageBreakBefore w:val="0"/>
        <w:widowControl w:val="0"/>
        <w:numPr>
          <w:ilvl w:val="0"/>
          <w:numId w:val="76"/>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积极参加班级和院校组织的集体活动及有益的社会工作,公益活动、志愿服务和社会工作,综合素质良好,在德、智、体方面全面发展,专业综合排老在前40%。</w:t>
      </w:r>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 w:hAnsi="仿宋" w:eastAsia="仿宋" w:cs="仿宋"/>
          <w:b/>
          <w:bCs/>
          <w:sz w:val="28"/>
          <w:szCs w:val="28"/>
          <w:lang w:val="en-US" w:eastAsia="zh-CN"/>
        </w:rPr>
      </w:pPr>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 w:hAnsi="仿宋" w:eastAsia="仿宋" w:cs="仿宋"/>
          <w:b/>
          <w:bCs/>
          <w:sz w:val="28"/>
          <w:szCs w:val="28"/>
          <w:lang w:val="en-US" w:eastAsia="zh-CN"/>
        </w:rPr>
      </w:pPr>
    </w:p>
    <w:p>
      <w:pPr>
        <w:pStyle w:val="2"/>
        <w:keepNext/>
        <w:keepLines/>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Chars="0" w:right="0" w:rightChars="0"/>
        <w:jc w:val="both"/>
        <w:textAlignment w:val="auto"/>
        <w:outlineLvl w:val="0"/>
        <w:rPr>
          <w:rFonts w:hint="eastAsia" w:ascii="仿宋" w:hAnsi="仿宋" w:eastAsia="仿宋" w:cs="仿宋"/>
          <w:b w:val="0"/>
          <w:bCs/>
          <w:sz w:val="30"/>
          <w:szCs w:val="30"/>
          <w:lang w:val="en-US" w:eastAsia="zh-CN"/>
        </w:rPr>
      </w:pPr>
    </w:p>
    <w:p>
      <w:pPr>
        <w:pStyle w:val="2"/>
        <w:keepNext/>
        <w:keepLines/>
        <w:pageBreakBefore w:val="0"/>
        <w:widowControl w:val="0"/>
        <w:numPr>
          <w:ilvl w:val="0"/>
          <w:numId w:val="1"/>
        </w:numPr>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0"/>
        <w:rPr>
          <w:rFonts w:hint="eastAsia" w:ascii="黑体" w:hAnsi="黑体" w:eastAsia="黑体" w:cs="黑体"/>
          <w:b w:val="0"/>
          <w:bCs/>
          <w:sz w:val="30"/>
          <w:szCs w:val="30"/>
          <w:lang w:val="en-US" w:eastAsia="zh-CN"/>
        </w:rPr>
      </w:pPr>
      <w:bookmarkStart w:id="35" w:name="_Toc28517"/>
      <w:r>
        <w:rPr>
          <w:rFonts w:hint="eastAsia" w:ascii="黑体" w:hAnsi="黑体" w:eastAsia="黑体" w:cs="黑体"/>
          <w:b w:val="0"/>
          <w:bCs/>
          <w:sz w:val="30"/>
          <w:szCs w:val="30"/>
          <w:lang w:val="en-US" w:eastAsia="zh-CN"/>
        </w:rPr>
        <w:t>思源时代创新研究基金</w:t>
      </w:r>
      <w:bookmarkEnd w:id="35"/>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项目号：</w:t>
      </w:r>
      <w:r>
        <w:rPr>
          <w:rFonts w:hint="eastAsia" w:ascii="仿宋" w:hAnsi="仿宋" w:eastAsia="仿宋" w:cs="仿宋"/>
          <w:b w:val="0"/>
          <w:bCs w:val="0"/>
          <w:sz w:val="28"/>
          <w:szCs w:val="28"/>
          <w:lang w:val="en-US" w:eastAsia="zh-CN"/>
        </w:rPr>
        <w:t>03060034</w:t>
      </w:r>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捐赠方：</w:t>
      </w:r>
      <w:r>
        <w:rPr>
          <w:rFonts w:hint="eastAsia" w:ascii="仿宋" w:hAnsi="仿宋" w:eastAsia="仿宋" w:cs="仿宋"/>
          <w:b w:val="0"/>
          <w:bCs w:val="0"/>
          <w:sz w:val="28"/>
          <w:szCs w:val="28"/>
          <w:lang w:val="en-US" w:eastAsia="zh-CN"/>
        </w:rPr>
        <w:t>北京思源时代科技有限公司</w:t>
      </w:r>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评选范围：</w:t>
      </w:r>
      <w:r>
        <w:rPr>
          <w:rFonts w:hint="eastAsia" w:ascii="仿宋" w:hAnsi="仿宋" w:eastAsia="仿宋" w:cs="仿宋"/>
          <w:b w:val="0"/>
          <w:bCs w:val="0"/>
          <w:i w:val="0"/>
          <w:iCs w:val="0"/>
          <w:sz w:val="28"/>
          <w:szCs w:val="28"/>
          <w:lang w:val="en-US" w:eastAsia="zh-CN"/>
        </w:rPr>
        <w:t>北京交通大学计算机学院全日制本科生</w:t>
      </w:r>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名额及金额：</w:t>
      </w:r>
      <w:r>
        <w:rPr>
          <w:rFonts w:hint="eastAsia" w:ascii="仿宋" w:hAnsi="仿宋" w:eastAsia="仿宋" w:cs="仿宋"/>
          <w:b w:val="0"/>
          <w:bCs w:val="0"/>
          <w:sz w:val="28"/>
          <w:szCs w:val="28"/>
          <w:lang w:val="en-US" w:eastAsia="zh-CN"/>
        </w:rPr>
        <w:t>共10人，5000元</w:t>
      </w:r>
      <w:r>
        <w:rPr>
          <w:rFonts w:hint="eastAsia" w:ascii="仿宋" w:hAnsi="仿宋" w:eastAsia="仿宋" w:cs="仿宋"/>
          <w:sz w:val="28"/>
          <w:szCs w:val="28"/>
          <w:lang w:val="en-US" w:eastAsia="zh-CN"/>
        </w:rPr>
        <w:t>/人˙年</w:t>
      </w:r>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 w:hAnsi="仿宋" w:eastAsia="仿宋" w:cs="仿宋"/>
          <w:b/>
          <w:bCs/>
          <w:sz w:val="28"/>
          <w:szCs w:val="28"/>
          <w:lang w:val="en-US" w:eastAsia="zh-CN"/>
        </w:rPr>
      </w:pPr>
    </w:p>
    <w:p>
      <w:pPr>
        <w:pStyle w:val="2"/>
        <w:keepNext/>
        <w:keepLines/>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Chars="0" w:right="0" w:rightChars="0"/>
        <w:jc w:val="both"/>
        <w:textAlignment w:val="auto"/>
        <w:outlineLvl w:val="0"/>
        <w:rPr>
          <w:rFonts w:hint="eastAsia" w:ascii="仿宋" w:hAnsi="仿宋" w:eastAsia="仿宋" w:cs="仿宋"/>
          <w:b w:val="0"/>
          <w:bCs/>
          <w:sz w:val="30"/>
          <w:szCs w:val="30"/>
          <w:lang w:val="en-US" w:eastAsia="zh-CN"/>
        </w:rPr>
      </w:pPr>
    </w:p>
    <w:p>
      <w:pPr>
        <w:pStyle w:val="2"/>
        <w:keepNext/>
        <w:keepLines/>
        <w:pageBreakBefore w:val="0"/>
        <w:widowControl w:val="0"/>
        <w:numPr>
          <w:ilvl w:val="0"/>
          <w:numId w:val="1"/>
        </w:numPr>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0"/>
        <w:rPr>
          <w:rFonts w:hint="eastAsia" w:ascii="黑体" w:hAnsi="黑体" w:eastAsia="黑体" w:cs="黑体"/>
          <w:b w:val="0"/>
          <w:bCs/>
          <w:sz w:val="30"/>
          <w:szCs w:val="30"/>
          <w:lang w:val="en-US" w:eastAsia="zh-CN"/>
        </w:rPr>
      </w:pPr>
      <w:bookmarkStart w:id="36" w:name="_Toc32653"/>
      <w:r>
        <w:rPr>
          <w:rFonts w:hint="eastAsia" w:ascii="黑体" w:hAnsi="黑体" w:eastAsia="黑体" w:cs="黑体"/>
          <w:b w:val="0"/>
          <w:bCs/>
          <w:sz w:val="30"/>
          <w:szCs w:val="30"/>
          <w:lang w:val="en-US" w:eastAsia="zh-CN"/>
        </w:rPr>
        <w:t>金融分会专项奖学金</w:t>
      </w:r>
      <w:bookmarkEnd w:id="36"/>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项目号：</w:t>
      </w:r>
      <w:r>
        <w:rPr>
          <w:rFonts w:hint="eastAsia" w:ascii="仿宋" w:hAnsi="仿宋" w:eastAsia="仿宋" w:cs="仿宋"/>
          <w:b w:val="0"/>
          <w:bCs w:val="0"/>
          <w:sz w:val="28"/>
          <w:szCs w:val="28"/>
          <w:lang w:val="en-US" w:eastAsia="zh-CN"/>
        </w:rPr>
        <w:t>03070017</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捐赠方：</w:t>
      </w:r>
      <w:r>
        <w:rPr>
          <w:rFonts w:hint="eastAsia" w:ascii="仿宋" w:hAnsi="仿宋" w:eastAsia="仿宋" w:cs="仿宋"/>
          <w:sz w:val="28"/>
          <w:szCs w:val="28"/>
          <w:lang w:val="en-US" w:eastAsia="zh-CN"/>
        </w:rPr>
        <w:t>金融分会理事会成员、金融行业校友等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评选范围：</w:t>
      </w:r>
      <w:r>
        <w:rPr>
          <w:rFonts w:hint="eastAsia" w:ascii="仿宋" w:hAnsi="仿宋" w:eastAsia="仿宋" w:cs="仿宋"/>
          <w:sz w:val="28"/>
          <w:szCs w:val="28"/>
          <w:lang w:val="en-US" w:eastAsia="zh-CN"/>
        </w:rPr>
        <w:t>北京交通大学经济管理学院学院全日制本科生和硕士研究生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名额及金额：</w:t>
      </w:r>
      <w:r>
        <w:rPr>
          <w:rFonts w:hint="eastAsia" w:ascii="仿宋" w:hAnsi="仿宋" w:eastAsia="仿宋" w:cs="仿宋"/>
          <w:sz w:val="28"/>
          <w:szCs w:val="28"/>
          <w:lang w:val="en-US" w:eastAsia="zh-CN"/>
        </w:rPr>
        <w:t>共4人，其中1名本科生，2名金融专业硕士研究生，1名学术型硕士研究生，2000元/人˙年</w:t>
      </w:r>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 w:hAnsi="仿宋" w:eastAsia="仿宋" w:cs="仿宋"/>
          <w:b/>
          <w:bCs/>
          <w:sz w:val="28"/>
          <w:szCs w:val="28"/>
          <w:lang w:val="en-US" w:eastAsia="zh-CN"/>
        </w:rPr>
      </w:pPr>
    </w:p>
    <w:p>
      <w:pPr>
        <w:pStyle w:val="2"/>
        <w:keepNext/>
        <w:keepLines/>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Chars="0" w:right="0" w:rightChars="0"/>
        <w:jc w:val="both"/>
        <w:textAlignment w:val="auto"/>
        <w:outlineLvl w:val="0"/>
        <w:rPr>
          <w:rFonts w:hint="eastAsia" w:ascii="仿宋" w:hAnsi="仿宋" w:eastAsia="仿宋" w:cs="仿宋"/>
          <w:b w:val="0"/>
          <w:bCs/>
          <w:sz w:val="30"/>
          <w:szCs w:val="30"/>
          <w:lang w:val="en-US" w:eastAsia="zh-CN"/>
        </w:rPr>
      </w:pPr>
    </w:p>
    <w:p>
      <w:pPr>
        <w:pStyle w:val="2"/>
        <w:keepNext/>
        <w:keepLines/>
        <w:pageBreakBefore w:val="0"/>
        <w:widowControl w:val="0"/>
        <w:numPr>
          <w:ilvl w:val="0"/>
          <w:numId w:val="1"/>
        </w:numPr>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0"/>
        <w:rPr>
          <w:rFonts w:hint="eastAsia" w:ascii="黑体" w:hAnsi="黑体" w:eastAsia="黑体" w:cs="黑体"/>
          <w:b w:val="0"/>
          <w:bCs/>
          <w:sz w:val="30"/>
          <w:szCs w:val="30"/>
          <w:lang w:val="en-US" w:eastAsia="zh-CN"/>
        </w:rPr>
      </w:pPr>
      <w:bookmarkStart w:id="37" w:name="_Toc2571"/>
      <w:r>
        <w:rPr>
          <w:rFonts w:hint="eastAsia" w:ascii="黑体" w:hAnsi="黑体" w:eastAsia="黑体" w:cs="黑体"/>
          <w:b w:val="0"/>
          <w:bCs/>
          <w:sz w:val="30"/>
          <w:szCs w:val="30"/>
          <w:lang w:val="en-US" w:eastAsia="zh-CN"/>
        </w:rPr>
        <w:t>金城教育基金奖学金</w:t>
      </w:r>
      <w:bookmarkEnd w:id="37"/>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项目号：</w:t>
      </w:r>
      <w:r>
        <w:rPr>
          <w:rFonts w:hint="eastAsia" w:ascii="仿宋" w:hAnsi="仿宋" w:eastAsia="仿宋" w:cs="仿宋"/>
          <w:b w:val="0"/>
          <w:bCs w:val="0"/>
          <w:sz w:val="28"/>
          <w:szCs w:val="28"/>
          <w:lang w:val="en-US" w:eastAsia="zh-CN"/>
        </w:rPr>
        <w:t>25010101</w:t>
      </w:r>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 w:hAnsi="仿宋" w:eastAsia="仿宋" w:cs="仿宋"/>
          <w:sz w:val="28"/>
          <w:szCs w:val="28"/>
        </w:rPr>
      </w:pPr>
      <w:r>
        <w:rPr>
          <w:rFonts w:hint="eastAsia" w:ascii="仿宋" w:hAnsi="仿宋" w:eastAsia="仿宋" w:cs="仿宋"/>
          <w:b/>
          <w:bCs/>
          <w:sz w:val="28"/>
          <w:szCs w:val="28"/>
          <w:lang w:val="en-US" w:eastAsia="zh-CN"/>
        </w:rPr>
        <w:t>捐赠方：</w:t>
      </w:r>
      <w:r>
        <w:rPr>
          <w:rFonts w:hint="eastAsia" w:ascii="仿宋" w:hAnsi="仿宋" w:eastAsia="仿宋" w:cs="仿宋"/>
          <w:sz w:val="28"/>
          <w:szCs w:val="28"/>
        </w:rPr>
        <w:t>深圳市金城保密技术有限公司</w:t>
      </w:r>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评选范围：</w:t>
      </w:r>
      <w:r>
        <w:rPr>
          <w:rFonts w:hint="eastAsia" w:ascii="仿宋_GB2312" w:eastAsia="仿宋_GB2312"/>
          <w:sz w:val="28"/>
        </w:rPr>
        <w:t>“金城奖学金”主要用于奖励本科3年级的优秀学生，“金城励志奖学金”主要用于奖励本科2年级的优秀贫困学生。</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28"/>
          <w:szCs w:val="28"/>
          <w:lang w:eastAsia="zh-CN"/>
        </w:rPr>
      </w:pPr>
      <w:r>
        <w:rPr>
          <w:rFonts w:hint="eastAsia" w:ascii="仿宋" w:hAnsi="仿宋" w:eastAsia="仿宋" w:cs="仿宋"/>
          <w:b/>
          <w:bCs/>
          <w:sz w:val="28"/>
          <w:szCs w:val="28"/>
        </w:rPr>
        <w:t>名额及</w:t>
      </w:r>
      <w:r>
        <w:rPr>
          <w:rFonts w:hint="eastAsia" w:ascii="仿宋" w:hAnsi="仿宋" w:eastAsia="仿宋" w:cs="仿宋"/>
          <w:b/>
          <w:bCs/>
          <w:sz w:val="28"/>
          <w:szCs w:val="28"/>
          <w:lang w:eastAsia="zh-CN"/>
        </w:rPr>
        <w:t>金额：</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rPr>
        <w:t>金城奖学金：每年评定6人，5000</w:t>
      </w:r>
      <w:r>
        <w:rPr>
          <w:rFonts w:hint="eastAsia" w:ascii="仿宋" w:hAnsi="仿宋" w:eastAsia="仿宋" w:cs="仿宋"/>
          <w:b w:val="0"/>
          <w:bCs w:val="0"/>
          <w:sz w:val="28"/>
          <w:szCs w:val="28"/>
          <w:lang w:val="en-US" w:eastAsia="zh-CN"/>
        </w:rPr>
        <w:t>元</w:t>
      </w:r>
      <w:r>
        <w:rPr>
          <w:rFonts w:hint="eastAsia" w:ascii="仿宋" w:hAnsi="仿宋" w:eastAsia="仿宋" w:cs="仿宋"/>
          <w:sz w:val="28"/>
          <w:szCs w:val="28"/>
          <w:lang w:val="en-US" w:eastAsia="zh-CN"/>
        </w:rPr>
        <w:t>/人˙年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金城励志奖学金：每年评定4人，5000</w:t>
      </w:r>
      <w:r>
        <w:rPr>
          <w:rFonts w:hint="eastAsia" w:ascii="仿宋" w:hAnsi="仿宋" w:eastAsia="仿宋" w:cs="仿宋"/>
          <w:b w:val="0"/>
          <w:bCs w:val="0"/>
          <w:sz w:val="28"/>
          <w:szCs w:val="28"/>
          <w:lang w:val="en-US" w:eastAsia="zh-CN"/>
        </w:rPr>
        <w:t>元</w:t>
      </w:r>
      <w:r>
        <w:rPr>
          <w:rFonts w:hint="eastAsia" w:ascii="仿宋" w:hAnsi="仿宋" w:eastAsia="仿宋" w:cs="仿宋"/>
          <w:sz w:val="28"/>
          <w:szCs w:val="28"/>
          <w:lang w:val="en-US" w:eastAsia="zh-CN"/>
        </w:rPr>
        <w:t>/人˙年</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28"/>
          <w:szCs w:val="28"/>
        </w:rPr>
      </w:pPr>
      <w:r>
        <w:rPr>
          <w:rFonts w:hint="eastAsia" w:ascii="仿宋" w:hAnsi="仿宋" w:eastAsia="仿宋" w:cs="仿宋"/>
          <w:b/>
          <w:bCs/>
          <w:i w:val="0"/>
          <w:iCs w:val="0"/>
          <w:sz w:val="28"/>
          <w:szCs w:val="28"/>
        </w:rPr>
        <w:t>评选条件</w:t>
      </w:r>
      <w:r>
        <w:rPr>
          <w:rFonts w:hint="eastAsia" w:ascii="仿宋" w:hAnsi="仿宋" w:eastAsia="仿宋" w:cs="仿宋"/>
          <w:sz w:val="28"/>
          <w:szCs w:val="28"/>
        </w:rPr>
        <w:t>：</w:t>
      </w:r>
    </w:p>
    <w:p>
      <w:pPr>
        <w:keepNext w:val="0"/>
        <w:keepLines w:val="0"/>
        <w:pageBreakBefore w:val="0"/>
        <w:widowControl w:val="0"/>
        <w:numPr>
          <w:ilvl w:val="0"/>
          <w:numId w:val="77"/>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北京交通大学国家保密学院信息安全（保密技术）和保密管理专业的优秀学生；</w:t>
      </w:r>
    </w:p>
    <w:p>
      <w:pPr>
        <w:keepNext w:val="0"/>
        <w:keepLines w:val="0"/>
        <w:pageBreakBefore w:val="0"/>
        <w:widowControl w:val="0"/>
        <w:numPr>
          <w:ilvl w:val="0"/>
          <w:numId w:val="77"/>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热爱祖国，拥护党的领导，热爱国家保密事业，思想进步，团结友爱，无违纪现象；</w:t>
      </w:r>
    </w:p>
    <w:p>
      <w:pPr>
        <w:keepNext w:val="0"/>
        <w:keepLines w:val="0"/>
        <w:pageBreakBefore w:val="0"/>
        <w:widowControl w:val="0"/>
        <w:numPr>
          <w:ilvl w:val="0"/>
          <w:numId w:val="77"/>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家庭经济困难的特困生（需经过学生资助管理中心认定），且自立自强、励志好学，学习成绩排全班前15名；</w:t>
      </w:r>
    </w:p>
    <w:p>
      <w:pPr>
        <w:keepNext w:val="0"/>
        <w:keepLines w:val="0"/>
        <w:pageBreakBefore w:val="0"/>
        <w:widowControl w:val="0"/>
        <w:numPr>
          <w:ilvl w:val="0"/>
          <w:numId w:val="77"/>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学生成绩优秀，各方面全面发展的学生，学习成绩排全班前10名。</w:t>
      </w:r>
    </w:p>
    <w:p>
      <w:pPr>
        <w:keepNext w:val="0"/>
        <w:keepLines w:val="0"/>
        <w:pageBreakBefore w:val="0"/>
        <w:widowControl w:val="0"/>
        <w:numPr>
          <w:ilvl w:val="0"/>
          <w:numId w:val="77"/>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符合（1）、（2）、（3）条作为评选“金城励志奖学金”的条件；</w:t>
      </w:r>
    </w:p>
    <w:p>
      <w:pPr>
        <w:keepNext w:val="0"/>
        <w:keepLines w:val="0"/>
        <w:pageBreakBefore w:val="0"/>
        <w:widowControl w:val="0"/>
        <w:numPr>
          <w:ilvl w:val="0"/>
          <w:numId w:val="77"/>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符合（1）、（2）、（4）条作为评选“金城奖学金”的条件。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sz w:val="28"/>
          <w:szCs w:val="28"/>
        </w:rPr>
      </w:pPr>
    </w:p>
    <w:p>
      <w:pPr>
        <w:pStyle w:val="2"/>
        <w:keepNext/>
        <w:keepLines/>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Chars="0" w:right="0" w:rightChars="0"/>
        <w:jc w:val="both"/>
        <w:textAlignment w:val="auto"/>
        <w:outlineLvl w:val="0"/>
        <w:rPr>
          <w:rFonts w:hint="eastAsia" w:ascii="仿宋" w:hAnsi="仿宋" w:eastAsia="仿宋" w:cs="仿宋"/>
          <w:b w:val="0"/>
          <w:bCs/>
          <w:sz w:val="30"/>
          <w:szCs w:val="30"/>
          <w:lang w:val="en-US" w:eastAsia="zh-CN"/>
        </w:rPr>
      </w:pPr>
    </w:p>
    <w:p>
      <w:pPr>
        <w:pStyle w:val="2"/>
        <w:keepNext/>
        <w:keepLines/>
        <w:pageBreakBefore w:val="0"/>
        <w:widowControl w:val="0"/>
        <w:numPr>
          <w:ilvl w:val="0"/>
          <w:numId w:val="1"/>
        </w:numPr>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0"/>
        <w:rPr>
          <w:rFonts w:hint="eastAsia" w:ascii="黑体" w:hAnsi="黑体" w:eastAsia="黑体" w:cs="黑体"/>
          <w:b w:val="0"/>
          <w:bCs/>
          <w:sz w:val="30"/>
          <w:szCs w:val="30"/>
          <w:lang w:val="en-US" w:eastAsia="zh-CN"/>
        </w:rPr>
      </w:pPr>
      <w:bookmarkStart w:id="38" w:name="_Toc22618"/>
      <w:r>
        <w:rPr>
          <w:rFonts w:hint="eastAsia" w:ascii="黑体" w:hAnsi="黑体" w:eastAsia="黑体" w:cs="黑体"/>
          <w:b w:val="0"/>
          <w:bCs/>
          <w:sz w:val="30"/>
          <w:szCs w:val="30"/>
          <w:lang w:val="en-US" w:eastAsia="zh-CN"/>
        </w:rPr>
        <w:t>理学院创新实践与培养奖学金</w:t>
      </w:r>
      <w:bookmarkEnd w:id="38"/>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项目号：</w:t>
      </w:r>
      <w:r>
        <w:rPr>
          <w:rFonts w:hint="eastAsia" w:ascii="仿宋" w:hAnsi="仿宋" w:eastAsia="仿宋" w:cs="仿宋"/>
          <w:sz w:val="28"/>
          <w:szCs w:val="28"/>
          <w:lang w:val="en-US" w:eastAsia="zh-CN"/>
        </w:rPr>
        <w:t>08010108</w:t>
      </w:r>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捐赠方：</w:t>
      </w:r>
      <w:r>
        <w:rPr>
          <w:rFonts w:hint="eastAsia" w:ascii="仿宋" w:hAnsi="仿宋" w:eastAsia="仿宋" w:cs="仿宋"/>
          <w:sz w:val="28"/>
          <w:szCs w:val="28"/>
          <w:lang w:val="en-US" w:eastAsia="zh-CN"/>
        </w:rPr>
        <w:t>王玉凤</w:t>
      </w:r>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评选范围：</w:t>
      </w:r>
      <w:r>
        <w:rPr>
          <w:rFonts w:hint="eastAsia" w:ascii="仿宋" w:hAnsi="仿宋" w:eastAsia="仿宋" w:cs="仿宋"/>
          <w:sz w:val="28"/>
          <w:szCs w:val="28"/>
          <w:lang w:val="en-US" w:eastAsia="zh-CN"/>
        </w:rPr>
        <w:t>参加理学院竞赛取得优异成绩；学习成绩排名10%、研究实践能力强且愿意在理学院直博的高年级本科生</w:t>
      </w:r>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Theme="minorEastAsia" w:hAnsiTheme="minorEastAsia"/>
          <w:b/>
          <w:bCs/>
          <w:sz w:val="28"/>
          <w:szCs w:val="28"/>
          <w:lang w:eastAsia="zh-CN"/>
        </w:rPr>
      </w:pPr>
      <w:r>
        <w:rPr>
          <w:rFonts w:hint="eastAsia" w:asciiTheme="minorEastAsia" w:hAnsiTheme="minorEastAsia"/>
          <w:b/>
          <w:bCs/>
          <w:sz w:val="28"/>
          <w:szCs w:val="28"/>
          <w:lang w:eastAsia="zh-CN"/>
        </w:rPr>
        <w:t>名额及金额：</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一等奖：8-12名，奖金3000 元/人</w:t>
      </w:r>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rPr>
          <w:rFonts w:hint="eastAsia" w:asciiTheme="minorEastAsia" w:hAnsiTheme="minorEastAsia"/>
          <w:b/>
          <w:bCs/>
          <w:sz w:val="28"/>
          <w:szCs w:val="28"/>
          <w:lang w:eastAsia="zh-CN"/>
        </w:rPr>
      </w:pPr>
      <w:r>
        <w:rPr>
          <w:rFonts w:hint="eastAsia" w:ascii="仿宋" w:hAnsi="仿宋" w:eastAsia="仿宋" w:cs="仿宋"/>
          <w:sz w:val="28"/>
          <w:szCs w:val="28"/>
        </w:rPr>
        <w:t>二等奖：20-25名，奖金1500 元/人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评选条件</w:t>
      </w:r>
      <w:r>
        <w:rPr>
          <w:rFonts w:hint="eastAsia" w:ascii="仿宋" w:hAnsi="仿宋" w:eastAsia="仿宋" w:cs="仿宋"/>
          <w:b/>
          <w:bCs/>
          <w:sz w:val="28"/>
          <w:szCs w:val="28"/>
          <w:lang w:eastAsia="zh-CN"/>
        </w:rPr>
        <w:t>（</w:t>
      </w:r>
      <w:r>
        <w:rPr>
          <w:rFonts w:hint="eastAsia" w:ascii="仿宋" w:hAnsi="仿宋" w:eastAsia="仿宋" w:cs="仿宋"/>
          <w:b/>
          <w:bCs/>
          <w:sz w:val="28"/>
          <w:szCs w:val="28"/>
        </w:rPr>
        <w:t>符合下列条件之一</w:t>
      </w:r>
      <w:r>
        <w:rPr>
          <w:rFonts w:hint="eastAsia" w:ascii="仿宋" w:hAnsi="仿宋" w:eastAsia="仿宋" w:cs="仿宋"/>
          <w:b/>
          <w:bCs/>
          <w:sz w:val="28"/>
          <w:szCs w:val="28"/>
          <w:lang w:eastAsia="zh-CN"/>
        </w:rPr>
        <w:t>）</w:t>
      </w:r>
      <w:r>
        <w:rPr>
          <w:rFonts w:hint="eastAsia" w:ascii="仿宋" w:hAnsi="仿宋" w:eastAsia="仿宋" w:cs="仿宋"/>
          <w:b/>
          <w:bCs/>
          <w:sz w:val="28"/>
          <w:szCs w:val="28"/>
        </w:rPr>
        <w:t>：</w:t>
      </w:r>
    </w:p>
    <w:p>
      <w:pPr>
        <w:keepNext w:val="0"/>
        <w:keepLines w:val="0"/>
        <w:pageBreakBefore w:val="0"/>
        <w:widowControl w:val="0"/>
        <w:numPr>
          <w:ilvl w:val="0"/>
          <w:numId w:val="78"/>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参加各级科技实践类竞赛并取得优异成绩的理学院本科生；</w:t>
      </w:r>
    </w:p>
    <w:p>
      <w:pPr>
        <w:keepNext w:val="0"/>
        <w:keepLines w:val="0"/>
        <w:pageBreakBefore w:val="0"/>
        <w:widowControl w:val="0"/>
        <w:numPr>
          <w:ilvl w:val="0"/>
          <w:numId w:val="78"/>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参加理学院组织的各级科技实践类竞赛活动并取得优异成绩的我校本科生；</w:t>
      </w:r>
    </w:p>
    <w:p>
      <w:pPr>
        <w:keepNext w:val="0"/>
        <w:keepLines w:val="0"/>
        <w:pageBreakBefore w:val="0"/>
        <w:widowControl w:val="0"/>
        <w:numPr>
          <w:ilvl w:val="0"/>
          <w:numId w:val="78"/>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学习成绩排名前10%，研究、实践能力较强，且愿意在理学院直读博士的高年级本科生。</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评审组织：</w:t>
      </w:r>
    </w:p>
    <w:p>
      <w:pPr>
        <w:keepNext w:val="0"/>
        <w:keepLines w:val="0"/>
        <w:pageBreakBefore w:val="0"/>
        <w:widowControl w:val="0"/>
        <w:numPr>
          <w:ilvl w:val="0"/>
          <w:numId w:val="79"/>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学校成立“学生创新实践奖励基金”领导小组，理学院院长任组长，学校教育基金会秘书长任副组长，组员由教务处、理学院相关专家组成，理学院教学副院长负责奖励基金的评审工作。</w:t>
      </w:r>
    </w:p>
    <w:p>
      <w:pPr>
        <w:keepNext w:val="0"/>
        <w:keepLines w:val="0"/>
        <w:pageBreakBefore w:val="0"/>
        <w:widowControl w:val="0"/>
        <w:numPr>
          <w:ilvl w:val="0"/>
          <w:numId w:val="79"/>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基金领导小组下设办公室，由学校教育基金会秘书处、理学院学生工作办公室组成，负责申报组织、材料审核工作及奖状、奖金的发放等工作。</w:t>
      </w:r>
    </w:p>
    <w:p>
      <w:pPr>
        <w:pStyle w:val="2"/>
        <w:keepNext/>
        <w:keepLines/>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Chars="0" w:right="0" w:rightChars="0"/>
        <w:jc w:val="both"/>
        <w:textAlignment w:val="auto"/>
        <w:outlineLvl w:val="0"/>
        <w:rPr>
          <w:rFonts w:hint="eastAsia" w:ascii="仿宋" w:hAnsi="仿宋" w:eastAsia="仿宋" w:cs="仿宋"/>
          <w:b w:val="0"/>
          <w:bCs/>
          <w:sz w:val="30"/>
          <w:szCs w:val="30"/>
          <w:lang w:val="en-US" w:eastAsia="zh-CN"/>
        </w:rPr>
      </w:pPr>
    </w:p>
    <w:p>
      <w:pPr>
        <w:rPr>
          <w:rFonts w:hint="eastAsia"/>
          <w:lang w:val="en-US" w:eastAsia="zh-CN"/>
        </w:rPr>
      </w:pPr>
    </w:p>
    <w:p>
      <w:pPr>
        <w:pStyle w:val="2"/>
        <w:keepNext/>
        <w:keepLines/>
        <w:pageBreakBefore w:val="0"/>
        <w:widowControl w:val="0"/>
        <w:numPr>
          <w:ilvl w:val="0"/>
          <w:numId w:val="1"/>
        </w:numPr>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0"/>
        <w:rPr>
          <w:rFonts w:hint="eastAsia" w:ascii="黑体" w:hAnsi="黑体" w:eastAsia="黑体" w:cs="黑体"/>
          <w:b w:val="0"/>
          <w:bCs/>
          <w:sz w:val="30"/>
          <w:szCs w:val="30"/>
          <w:lang w:val="en-US" w:eastAsia="zh-CN"/>
        </w:rPr>
      </w:pPr>
      <w:bookmarkStart w:id="39" w:name="_Toc2054"/>
      <w:r>
        <w:rPr>
          <w:rFonts w:hint="eastAsia" w:ascii="黑体" w:hAnsi="黑体" w:eastAsia="黑体" w:cs="黑体"/>
          <w:b w:val="0"/>
          <w:bCs/>
          <w:sz w:val="30"/>
          <w:szCs w:val="30"/>
          <w:lang w:val="en-US" w:eastAsia="zh-CN"/>
        </w:rPr>
        <w:t>微联素质奖学金</w:t>
      </w:r>
      <w:bookmarkEnd w:id="39"/>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项目号：</w:t>
      </w:r>
      <w:r>
        <w:rPr>
          <w:rFonts w:hint="eastAsia" w:ascii="仿宋" w:hAnsi="仿宋" w:eastAsia="仿宋" w:cs="仿宋"/>
          <w:b w:val="0"/>
          <w:bCs w:val="0"/>
          <w:sz w:val="28"/>
          <w:szCs w:val="28"/>
          <w:lang w:val="en-US" w:eastAsia="zh-CN"/>
        </w:rPr>
        <w:t>01010018</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捐赠方：</w:t>
      </w:r>
      <w:r>
        <w:rPr>
          <w:rFonts w:hint="eastAsia" w:ascii="仿宋" w:hAnsi="仿宋" w:eastAsia="仿宋" w:cs="仿宋"/>
          <w:sz w:val="28"/>
          <w:szCs w:val="28"/>
        </w:rPr>
        <w:t>北京交大微联科技有限公司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评选范围：</w:t>
      </w:r>
      <w:r>
        <w:rPr>
          <w:rFonts w:hint="eastAsia" w:ascii="仿宋" w:hAnsi="仿宋" w:eastAsia="仿宋" w:cs="仿宋"/>
          <w:sz w:val="28"/>
          <w:szCs w:val="28"/>
        </w:rPr>
        <w:t>北京交通大学电子信息工程学院学生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名额及金额：</w:t>
      </w:r>
      <w:r>
        <w:rPr>
          <w:rFonts w:hint="eastAsia" w:ascii="仿宋" w:hAnsi="仿宋" w:eastAsia="仿宋" w:cs="仿宋"/>
          <w:sz w:val="28"/>
          <w:szCs w:val="28"/>
          <w:lang w:val="en-US" w:eastAsia="zh-CN"/>
        </w:rPr>
        <w:t>共10名，1000元/人˙年</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28"/>
          <w:szCs w:val="28"/>
        </w:rPr>
      </w:pPr>
    </w:p>
    <w:p>
      <w:pPr>
        <w:pStyle w:val="2"/>
        <w:keepNext/>
        <w:keepLines/>
        <w:pageBreakBefore w:val="0"/>
        <w:widowControl w:val="0"/>
        <w:numPr>
          <w:ilvl w:val="0"/>
          <w:numId w:val="1"/>
        </w:numPr>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0"/>
        <w:rPr>
          <w:rFonts w:hint="eastAsia" w:ascii="黑体" w:hAnsi="黑体" w:eastAsia="黑体" w:cs="黑体"/>
          <w:b w:val="0"/>
          <w:bCs/>
          <w:sz w:val="30"/>
          <w:szCs w:val="30"/>
          <w:lang w:val="en-US" w:eastAsia="zh-CN"/>
        </w:rPr>
      </w:pPr>
      <w:bookmarkStart w:id="40" w:name="_Toc15723"/>
      <w:bookmarkStart w:id="41" w:name="_Toc20669"/>
      <w:bookmarkStart w:id="42" w:name="_Toc1996"/>
      <w:r>
        <w:rPr>
          <w:rFonts w:hint="eastAsia" w:ascii="黑体" w:hAnsi="黑体" w:eastAsia="黑体" w:cs="黑体"/>
          <w:b w:val="0"/>
          <w:bCs/>
          <w:sz w:val="30"/>
          <w:szCs w:val="30"/>
          <w:lang w:val="en-US" w:eastAsia="zh-CN"/>
        </w:rPr>
        <w:t>睿智奖助学金</w:t>
      </w:r>
      <w:bookmarkEnd w:id="40"/>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项目号：</w:t>
      </w:r>
      <w:r>
        <w:rPr>
          <w:rFonts w:hint="eastAsia" w:ascii="仿宋" w:hAnsi="仿宋" w:eastAsia="仿宋" w:cs="仿宋"/>
          <w:b w:val="0"/>
          <w:bCs w:val="0"/>
          <w:sz w:val="28"/>
          <w:szCs w:val="28"/>
          <w:lang w:val="en-US" w:eastAsia="zh-CN"/>
        </w:rPr>
        <w:t>08010131</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捐赠方：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sz w:val="28"/>
          <w:szCs w:val="28"/>
        </w:rPr>
      </w:pPr>
      <w:r>
        <w:rPr>
          <w:rFonts w:hint="eastAsia" w:ascii="仿宋" w:hAnsi="仿宋" w:eastAsia="仿宋" w:cs="仿宋"/>
          <w:b/>
          <w:bCs/>
          <w:sz w:val="28"/>
          <w:szCs w:val="28"/>
          <w:lang w:val="en-US" w:eastAsia="zh-CN"/>
        </w:rPr>
        <w:t>评选范围：</w:t>
      </w:r>
      <w:r>
        <w:rPr>
          <w:rFonts w:hint="eastAsia" w:ascii="仿宋" w:hAnsi="仿宋" w:eastAsia="仿宋"/>
          <w:sz w:val="28"/>
          <w:szCs w:val="28"/>
        </w:rPr>
        <w:t>北京交通大学理学院全日制在校家庭经济困难本科生和科研实践能力突出的本科生。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sz w:val="28"/>
          <w:szCs w:val="28"/>
        </w:rPr>
      </w:pPr>
      <w:r>
        <w:rPr>
          <w:rFonts w:hint="eastAsia" w:ascii="仿宋" w:hAnsi="仿宋" w:eastAsia="仿宋" w:cs="仿宋"/>
          <w:b/>
          <w:bCs/>
          <w:sz w:val="28"/>
          <w:szCs w:val="28"/>
          <w:lang w:val="en-US" w:eastAsia="zh-CN"/>
        </w:rPr>
        <w:t>名额及金额：</w:t>
      </w:r>
      <w:r>
        <w:rPr>
          <w:rFonts w:hint="eastAsia" w:ascii="仿宋" w:hAnsi="仿宋" w:eastAsia="仿宋"/>
          <w:sz w:val="28"/>
          <w:szCs w:val="28"/>
        </w:rPr>
        <w:t>奖学金</w:t>
      </w:r>
      <w:r>
        <w:rPr>
          <w:rFonts w:hint="eastAsia" w:ascii="仿宋" w:hAnsi="仿宋" w:eastAsia="仿宋"/>
          <w:sz w:val="28"/>
          <w:szCs w:val="28"/>
          <w:lang w:eastAsia="zh-CN"/>
        </w:rPr>
        <w:t>：</w:t>
      </w:r>
      <w:r>
        <w:rPr>
          <w:rFonts w:hint="eastAsia" w:ascii="仿宋" w:hAnsi="仿宋" w:eastAsia="仿宋"/>
          <w:sz w:val="28"/>
          <w:szCs w:val="28"/>
        </w:rPr>
        <w:t>4人，5000元/人˙年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1680" w:firstLineChars="600"/>
        <w:jc w:val="both"/>
        <w:textAlignment w:val="auto"/>
        <w:outlineLvl w:val="9"/>
        <w:rPr>
          <w:rFonts w:hint="eastAsia" w:ascii="仿宋" w:hAnsi="仿宋" w:eastAsia="仿宋"/>
          <w:sz w:val="28"/>
          <w:szCs w:val="28"/>
          <w:lang w:eastAsia="zh-CN"/>
        </w:rPr>
      </w:pPr>
      <w:r>
        <w:rPr>
          <w:rFonts w:hint="eastAsia" w:ascii="仿宋" w:hAnsi="仿宋" w:eastAsia="仿宋"/>
          <w:sz w:val="28"/>
          <w:szCs w:val="28"/>
        </w:rPr>
        <w:t>助学金</w:t>
      </w:r>
      <w:r>
        <w:rPr>
          <w:rFonts w:hint="eastAsia" w:ascii="仿宋" w:hAnsi="仿宋" w:eastAsia="仿宋"/>
          <w:sz w:val="28"/>
          <w:szCs w:val="28"/>
          <w:lang w:eastAsia="zh-CN"/>
        </w:rPr>
        <w:t>：</w:t>
      </w:r>
      <w:r>
        <w:rPr>
          <w:rFonts w:hint="eastAsia" w:ascii="仿宋" w:hAnsi="仿宋" w:eastAsia="仿宋"/>
          <w:sz w:val="28"/>
          <w:szCs w:val="28"/>
        </w:rPr>
        <w:t>一等助学金3人，4000元/人˙年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2800" w:firstLineChars="1000"/>
        <w:jc w:val="both"/>
        <w:textAlignment w:val="auto"/>
        <w:outlineLvl w:val="9"/>
        <w:rPr>
          <w:rFonts w:hint="eastAsia" w:ascii="仿宋" w:hAnsi="仿宋" w:eastAsia="仿宋"/>
          <w:sz w:val="28"/>
          <w:szCs w:val="28"/>
          <w:lang w:eastAsia="zh-CN"/>
        </w:rPr>
      </w:pPr>
      <w:r>
        <w:rPr>
          <w:rFonts w:hint="eastAsia" w:ascii="仿宋" w:hAnsi="仿宋" w:eastAsia="仿宋"/>
          <w:sz w:val="28"/>
          <w:szCs w:val="28"/>
        </w:rPr>
        <w:t>二等助学金2人，3000元/人˙年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2800" w:firstLineChars="1000"/>
        <w:jc w:val="both"/>
        <w:textAlignment w:val="auto"/>
        <w:outlineLvl w:val="9"/>
        <w:rPr>
          <w:rFonts w:hint="eastAsia" w:ascii="仿宋" w:hAnsi="仿宋" w:eastAsia="仿宋"/>
          <w:sz w:val="28"/>
          <w:szCs w:val="28"/>
        </w:rPr>
      </w:pPr>
      <w:r>
        <w:rPr>
          <w:rFonts w:hint="eastAsia" w:ascii="仿宋" w:hAnsi="仿宋" w:eastAsia="仿宋"/>
          <w:sz w:val="28"/>
          <w:szCs w:val="28"/>
        </w:rPr>
        <w:t>三等助学金1人，2000元/人˙年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评选条件：</w:t>
      </w:r>
    </w:p>
    <w:p>
      <w:pPr>
        <w:numPr>
          <w:ilvl w:val="0"/>
          <w:numId w:val="80"/>
        </w:numPr>
        <w:ind w:left="425" w:leftChars="0" w:hanging="425" w:firstLineChars="0"/>
        <w:rPr>
          <w:rFonts w:ascii="仿宋" w:hAnsi="仿宋" w:eastAsia="仿宋"/>
          <w:sz w:val="28"/>
          <w:szCs w:val="28"/>
        </w:rPr>
      </w:pPr>
      <w:r>
        <w:rPr>
          <w:rFonts w:hint="eastAsia" w:ascii="仿宋" w:hAnsi="仿宋" w:eastAsia="仿宋"/>
          <w:sz w:val="28"/>
          <w:szCs w:val="28"/>
        </w:rPr>
        <w:t>睿智助学金</w:t>
      </w:r>
    </w:p>
    <w:p>
      <w:pPr>
        <w:pStyle w:val="9"/>
        <w:numPr>
          <w:ilvl w:val="0"/>
          <w:numId w:val="81"/>
        </w:numPr>
        <w:adjustRightInd w:val="0"/>
        <w:snapToGrid w:val="0"/>
        <w:spacing w:before="0" w:beforeAutospacing="0" w:after="0" w:afterAutospacing="0" w:line="700" w:lineRule="exact"/>
        <w:ind w:left="425" w:leftChars="0" w:hanging="425" w:firstLineChars="0"/>
        <w:rPr>
          <w:rFonts w:ascii="仿宋" w:hAnsi="仿宋" w:eastAsia="仿宋" w:cs="仿宋_GB2312"/>
          <w:sz w:val="28"/>
          <w:szCs w:val="32"/>
        </w:rPr>
      </w:pPr>
      <w:r>
        <w:rPr>
          <w:rFonts w:ascii="仿宋" w:hAnsi="仿宋" w:eastAsia="仿宋" w:cs="仿宋_GB2312"/>
          <w:sz w:val="28"/>
          <w:szCs w:val="32"/>
        </w:rPr>
        <w:t>热爱祖国、</w:t>
      </w:r>
      <w:r>
        <w:rPr>
          <w:rFonts w:hint="eastAsia" w:ascii="仿宋" w:hAnsi="仿宋" w:eastAsia="仿宋" w:cs="仿宋_GB2312"/>
          <w:sz w:val="28"/>
          <w:szCs w:val="32"/>
        </w:rPr>
        <w:t>拥护中国共产党的领导，</w:t>
      </w:r>
      <w:r>
        <w:rPr>
          <w:rFonts w:ascii="仿宋" w:hAnsi="仿宋" w:eastAsia="仿宋" w:cs="仿宋_GB2312"/>
          <w:sz w:val="28"/>
          <w:szCs w:val="32"/>
        </w:rPr>
        <w:t>有较强的社会责任感；</w:t>
      </w:r>
    </w:p>
    <w:p>
      <w:pPr>
        <w:pStyle w:val="9"/>
        <w:numPr>
          <w:ilvl w:val="0"/>
          <w:numId w:val="81"/>
        </w:numPr>
        <w:adjustRightInd w:val="0"/>
        <w:snapToGrid w:val="0"/>
        <w:spacing w:before="0" w:beforeAutospacing="0" w:after="0" w:afterAutospacing="0" w:line="700" w:lineRule="exact"/>
        <w:ind w:left="425" w:leftChars="0" w:hanging="425" w:firstLineChars="0"/>
        <w:rPr>
          <w:rFonts w:ascii="仿宋" w:hAnsi="仿宋" w:eastAsia="仿宋" w:cs="仿宋_GB2312"/>
          <w:sz w:val="28"/>
          <w:szCs w:val="32"/>
        </w:rPr>
      </w:pPr>
      <w:r>
        <w:rPr>
          <w:rFonts w:hint="eastAsia" w:ascii="仿宋" w:hAnsi="仿宋" w:eastAsia="仿宋" w:cs="仿宋_GB2312"/>
          <w:sz w:val="28"/>
          <w:szCs w:val="32"/>
        </w:rPr>
        <w:t>诚实守信、</w:t>
      </w:r>
      <w:r>
        <w:rPr>
          <w:rFonts w:ascii="仿宋" w:hAnsi="仿宋" w:eastAsia="仿宋" w:cs="仿宋_GB2312"/>
          <w:sz w:val="28"/>
          <w:szCs w:val="32"/>
        </w:rPr>
        <w:t>热爱劳动、关心集体</w:t>
      </w:r>
      <w:r>
        <w:rPr>
          <w:rFonts w:hint="eastAsia" w:ascii="仿宋" w:hAnsi="仿宋" w:eastAsia="仿宋" w:cs="仿宋_GB2312"/>
          <w:sz w:val="28"/>
          <w:szCs w:val="32"/>
        </w:rPr>
        <w:t>，</w:t>
      </w:r>
      <w:r>
        <w:rPr>
          <w:rFonts w:ascii="仿宋" w:hAnsi="仿宋" w:eastAsia="仿宋" w:cs="仿宋_GB2312"/>
          <w:sz w:val="28"/>
          <w:szCs w:val="32"/>
        </w:rPr>
        <w:t>具有高尚的道德品质；</w:t>
      </w:r>
    </w:p>
    <w:p>
      <w:pPr>
        <w:pStyle w:val="9"/>
        <w:numPr>
          <w:ilvl w:val="0"/>
          <w:numId w:val="81"/>
        </w:numPr>
        <w:adjustRightInd w:val="0"/>
        <w:snapToGrid w:val="0"/>
        <w:spacing w:before="0" w:beforeAutospacing="0" w:after="0" w:afterAutospacing="0" w:line="700" w:lineRule="exact"/>
        <w:ind w:left="425" w:leftChars="0" w:hanging="425" w:firstLineChars="0"/>
        <w:rPr>
          <w:rFonts w:ascii="仿宋" w:hAnsi="仿宋" w:eastAsia="仿宋" w:cs="仿宋_GB2312"/>
          <w:sz w:val="28"/>
          <w:szCs w:val="32"/>
        </w:rPr>
      </w:pPr>
      <w:r>
        <w:rPr>
          <w:rFonts w:hint="eastAsia" w:ascii="仿宋" w:hAnsi="仿宋" w:eastAsia="仿宋" w:cs="仿宋_GB2312"/>
          <w:sz w:val="28"/>
          <w:szCs w:val="32"/>
        </w:rPr>
        <w:t>经学校认定为家庭经济困难的同学，生活俭朴，自立自强；</w:t>
      </w:r>
    </w:p>
    <w:p>
      <w:pPr>
        <w:pStyle w:val="9"/>
        <w:numPr>
          <w:ilvl w:val="0"/>
          <w:numId w:val="81"/>
        </w:numPr>
        <w:adjustRightInd w:val="0"/>
        <w:snapToGrid w:val="0"/>
        <w:spacing w:before="0" w:beforeAutospacing="0" w:after="0" w:afterAutospacing="0" w:line="700" w:lineRule="exact"/>
        <w:ind w:left="425" w:leftChars="0" w:hanging="425" w:firstLineChars="0"/>
        <w:rPr>
          <w:rFonts w:ascii="仿宋" w:hAnsi="仿宋" w:eastAsia="仿宋" w:cs="仿宋_GB2312"/>
          <w:sz w:val="28"/>
          <w:szCs w:val="32"/>
        </w:rPr>
      </w:pPr>
      <w:r>
        <w:rPr>
          <w:rFonts w:hint="eastAsia" w:ascii="仿宋" w:hAnsi="仿宋" w:eastAsia="仿宋" w:cs="仿宋_GB2312"/>
          <w:sz w:val="28"/>
          <w:szCs w:val="32"/>
        </w:rPr>
        <w:t>热爱</w:t>
      </w:r>
      <w:r>
        <w:rPr>
          <w:rFonts w:ascii="仿宋" w:hAnsi="仿宋" w:eastAsia="仿宋" w:cs="仿宋_GB2312"/>
          <w:sz w:val="28"/>
          <w:szCs w:val="32"/>
        </w:rPr>
        <w:t>学习</w:t>
      </w:r>
      <w:r>
        <w:rPr>
          <w:rFonts w:hint="eastAsia" w:ascii="仿宋" w:hAnsi="仿宋" w:eastAsia="仿宋" w:cs="仿宋_GB2312"/>
          <w:sz w:val="28"/>
          <w:szCs w:val="32"/>
        </w:rPr>
        <w:t>，勤于钻研，积极进取</w:t>
      </w:r>
      <w:r>
        <w:rPr>
          <w:rFonts w:ascii="仿宋" w:hAnsi="仿宋" w:eastAsia="仿宋" w:cs="仿宋_GB2312"/>
          <w:sz w:val="28"/>
          <w:szCs w:val="32"/>
        </w:rPr>
        <w:t>。</w:t>
      </w:r>
    </w:p>
    <w:p>
      <w:pPr>
        <w:numPr>
          <w:ilvl w:val="0"/>
          <w:numId w:val="80"/>
        </w:numPr>
        <w:ind w:left="425" w:leftChars="0" w:hanging="425" w:firstLineChars="0"/>
        <w:rPr>
          <w:rFonts w:hint="eastAsia" w:ascii="仿宋" w:hAnsi="仿宋" w:eastAsia="仿宋"/>
          <w:sz w:val="28"/>
          <w:szCs w:val="28"/>
        </w:rPr>
      </w:pPr>
      <w:r>
        <w:rPr>
          <w:rFonts w:hint="eastAsia" w:ascii="仿宋" w:hAnsi="仿宋" w:eastAsia="仿宋"/>
          <w:sz w:val="28"/>
          <w:szCs w:val="28"/>
        </w:rPr>
        <w:t>睿智奖学金</w:t>
      </w:r>
    </w:p>
    <w:p>
      <w:pPr>
        <w:numPr>
          <w:ilvl w:val="0"/>
          <w:numId w:val="82"/>
        </w:numPr>
        <w:tabs>
          <w:tab w:val="left" w:pos="1800"/>
        </w:tabs>
        <w:adjustRightInd w:val="0"/>
        <w:snapToGrid w:val="0"/>
        <w:spacing w:line="520" w:lineRule="exact"/>
        <w:ind w:left="425" w:leftChars="0" w:hanging="425" w:firstLineChars="0"/>
        <w:rPr>
          <w:rFonts w:ascii="仿宋_GB2312" w:eastAsia="仿宋_GB2312" w:cs="仿宋_GB2312"/>
          <w:sz w:val="28"/>
          <w:szCs w:val="28"/>
        </w:rPr>
      </w:pPr>
      <w:r>
        <w:rPr>
          <w:rFonts w:hint="eastAsia" w:ascii="仿宋_GB2312" w:eastAsia="仿宋_GB2312" w:cs="仿宋_GB2312"/>
          <w:sz w:val="28"/>
          <w:szCs w:val="28"/>
        </w:rPr>
        <w:t>思想进步，热爱祖国，热爱中国共产党；</w:t>
      </w:r>
    </w:p>
    <w:p>
      <w:pPr>
        <w:numPr>
          <w:ilvl w:val="0"/>
          <w:numId w:val="82"/>
        </w:numPr>
        <w:tabs>
          <w:tab w:val="left" w:pos="1800"/>
        </w:tabs>
        <w:adjustRightInd w:val="0"/>
        <w:snapToGrid w:val="0"/>
        <w:spacing w:line="520" w:lineRule="exact"/>
        <w:ind w:left="425" w:leftChars="0" w:hanging="425" w:firstLineChars="0"/>
        <w:rPr>
          <w:rFonts w:ascii="仿宋_GB2312" w:eastAsia="仿宋_GB2312" w:cs="仿宋_GB2312"/>
          <w:sz w:val="28"/>
          <w:szCs w:val="28"/>
        </w:rPr>
      </w:pPr>
      <w:r>
        <w:rPr>
          <w:rFonts w:hint="eastAsia" w:ascii="仿宋_GB2312" w:eastAsia="仿宋_GB2312" w:cs="仿宋_GB2312"/>
          <w:sz w:val="28"/>
          <w:szCs w:val="28"/>
        </w:rPr>
        <w:t>遵守国家法律法规和校纪校规，品行端正，无违法乱纪行为；</w:t>
      </w:r>
    </w:p>
    <w:p>
      <w:pPr>
        <w:numPr>
          <w:ilvl w:val="0"/>
          <w:numId w:val="82"/>
        </w:numPr>
        <w:tabs>
          <w:tab w:val="left" w:pos="1800"/>
        </w:tabs>
        <w:adjustRightInd w:val="0"/>
        <w:snapToGrid w:val="0"/>
        <w:spacing w:line="520" w:lineRule="exact"/>
        <w:ind w:left="425" w:leftChars="0" w:hanging="425" w:firstLineChars="0"/>
        <w:rPr>
          <w:rFonts w:ascii="仿宋_GB2312" w:eastAsia="仿宋_GB2312" w:cs="仿宋_GB2312"/>
          <w:sz w:val="28"/>
          <w:szCs w:val="28"/>
        </w:rPr>
      </w:pPr>
      <w:r>
        <w:rPr>
          <w:rFonts w:hint="eastAsia" w:ascii="仿宋_GB2312" w:eastAsia="仿宋_GB2312" w:cs="仿宋_GB2312"/>
          <w:sz w:val="28"/>
          <w:szCs w:val="28"/>
        </w:rPr>
        <w:t>学习勤奋刻苦，加权平均学习成绩居专业前50%；</w:t>
      </w:r>
    </w:p>
    <w:p>
      <w:pPr>
        <w:numPr>
          <w:ilvl w:val="0"/>
          <w:numId w:val="82"/>
        </w:numPr>
        <w:tabs>
          <w:tab w:val="left" w:pos="1800"/>
        </w:tabs>
        <w:adjustRightInd w:val="0"/>
        <w:snapToGrid w:val="0"/>
        <w:spacing w:line="520" w:lineRule="exact"/>
        <w:ind w:left="425" w:leftChars="0" w:hanging="425" w:firstLineChars="0"/>
        <w:rPr>
          <w:rFonts w:ascii="仿宋_GB2312" w:eastAsia="仿宋_GB2312" w:cs="仿宋_GB2312"/>
          <w:sz w:val="28"/>
          <w:szCs w:val="28"/>
        </w:rPr>
      </w:pPr>
      <w:r>
        <w:rPr>
          <w:rFonts w:hint="eastAsia" w:ascii="仿宋_GB2312" w:eastAsia="仿宋_GB2312" w:cs="仿宋_GB2312"/>
          <w:sz w:val="28"/>
          <w:szCs w:val="28"/>
        </w:rPr>
        <w:t>具有较高的综合素质和创新能力潜质，在大学生创新创业训练项目中具有较强的钻研与实践精神。</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sz w:val="28"/>
          <w:szCs w:val="28"/>
        </w:rPr>
      </w:pPr>
    </w:p>
    <w:p>
      <w:pPr>
        <w:pStyle w:val="2"/>
        <w:keepNext/>
        <w:keepLines/>
        <w:pageBreakBefore w:val="0"/>
        <w:widowControl w:val="0"/>
        <w:numPr>
          <w:ilvl w:val="0"/>
          <w:numId w:val="1"/>
        </w:numPr>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0"/>
        <w:rPr>
          <w:rFonts w:hint="eastAsia" w:ascii="黑体" w:hAnsi="黑体" w:eastAsia="黑体" w:cs="黑体"/>
          <w:b w:val="0"/>
          <w:bCs/>
          <w:sz w:val="30"/>
          <w:szCs w:val="30"/>
          <w:lang w:val="en-US" w:eastAsia="zh-CN"/>
        </w:rPr>
      </w:pPr>
      <w:bookmarkStart w:id="43" w:name="_Toc21359"/>
      <w:r>
        <w:rPr>
          <w:rFonts w:hint="eastAsia" w:ascii="黑体" w:hAnsi="黑体" w:eastAsia="黑体" w:cs="黑体"/>
          <w:b w:val="0"/>
          <w:bCs/>
          <w:sz w:val="30"/>
          <w:szCs w:val="30"/>
          <w:lang w:val="en-US" w:eastAsia="zh-CN"/>
        </w:rPr>
        <w:t>照坤奖学金</w:t>
      </w:r>
      <w:bookmarkEnd w:id="41"/>
      <w:bookmarkEnd w:id="42"/>
      <w:bookmarkEnd w:id="43"/>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 w:hAnsi="仿宋" w:eastAsia="仿宋" w:cs="仿宋"/>
          <w:b w:val="0"/>
          <w:bCs w:val="0"/>
          <w:sz w:val="28"/>
          <w:szCs w:val="28"/>
          <w:lang w:val="en-US" w:eastAsia="zh-CN" w:bidi="bo-CN"/>
        </w:rPr>
      </w:pPr>
      <w:r>
        <w:rPr>
          <w:rFonts w:hint="eastAsia" w:ascii="仿宋" w:hAnsi="仿宋" w:eastAsia="仿宋" w:cs="仿宋"/>
          <w:b/>
          <w:bCs/>
          <w:sz w:val="28"/>
          <w:szCs w:val="28"/>
          <w:lang w:val="en-US" w:eastAsia="zh-CN"/>
        </w:rPr>
        <w:t>项目号：</w:t>
      </w:r>
      <w:r>
        <w:rPr>
          <w:rFonts w:hint="eastAsia" w:ascii="仿宋" w:hAnsi="仿宋" w:eastAsia="仿宋" w:cs="仿宋"/>
          <w:b w:val="0"/>
          <w:bCs w:val="0"/>
          <w:sz w:val="28"/>
          <w:szCs w:val="28"/>
          <w:lang w:val="en-US" w:eastAsia="zh-CN"/>
        </w:rPr>
        <w:t>99010100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捐赠方：</w:t>
      </w:r>
      <w:r>
        <w:rPr>
          <w:rFonts w:hint="eastAsia" w:ascii="仿宋" w:hAnsi="仿宋" w:eastAsia="仿宋" w:cs="仿宋"/>
          <w:b w:val="0"/>
          <w:bCs w:val="0"/>
          <w:sz w:val="28"/>
          <w:szCs w:val="28"/>
          <w:lang w:val="en-US" w:eastAsia="zh-CN"/>
        </w:rPr>
        <w:t>黄超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评选范围：</w:t>
      </w:r>
      <w:r>
        <w:rPr>
          <w:rFonts w:hint="eastAsia" w:ascii="仿宋" w:hAnsi="仿宋" w:eastAsia="仿宋" w:cs="仿宋"/>
          <w:sz w:val="28"/>
          <w:szCs w:val="28"/>
        </w:rPr>
        <w:t>北京交通大学大二至大四的全日制本科生</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名额及金额：</w:t>
      </w:r>
    </w:p>
    <w:tbl>
      <w:tblPr>
        <w:tblStyle w:val="11"/>
        <w:tblW w:w="7938" w:type="dxa"/>
        <w:jc w:val="center"/>
        <w:tblInd w:w="5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59"/>
        <w:gridCol w:w="2064"/>
        <w:gridCol w:w="1691"/>
        <w:gridCol w:w="26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59" w:type="dxa"/>
            <w:vAlign w:val="top"/>
          </w:tcPr>
          <w:p>
            <w:pPr>
              <w:keepNext w:val="0"/>
              <w:keepLines w:val="0"/>
              <w:pageBreakBefore w:val="0"/>
              <w:widowControl w:val="0"/>
              <w:kinsoku/>
              <w:wordWrap/>
              <w:overflowPunct/>
              <w:topLinePunct w:val="0"/>
              <w:autoSpaceDE/>
              <w:autoSpaceDN/>
              <w:bidi w:val="0"/>
              <w:adjustRightInd w:val="0"/>
              <w:snapToGrid w:val="0"/>
              <w:spacing w:line="560" w:lineRule="exact"/>
              <w:ind w:firstLine="0"/>
              <w:jc w:val="center"/>
              <w:textAlignment w:val="auto"/>
              <w:rPr>
                <w:rFonts w:hint="eastAsia" w:ascii="仿宋" w:hAnsi="仿宋" w:eastAsia="仿宋" w:cs="仿宋"/>
                <w:b/>
                <w:sz w:val="28"/>
                <w:szCs w:val="28"/>
              </w:rPr>
            </w:pPr>
            <w:r>
              <w:rPr>
                <w:rFonts w:hint="eastAsia" w:ascii="仿宋" w:hAnsi="仿宋" w:eastAsia="仿宋" w:cs="仿宋"/>
                <w:b/>
                <w:sz w:val="28"/>
                <w:szCs w:val="28"/>
              </w:rPr>
              <w:t>名称</w:t>
            </w:r>
          </w:p>
        </w:tc>
        <w:tc>
          <w:tcPr>
            <w:tcW w:w="2064" w:type="dxa"/>
            <w:vAlign w:val="top"/>
          </w:tcPr>
          <w:p>
            <w:pPr>
              <w:keepNext w:val="0"/>
              <w:keepLines w:val="0"/>
              <w:pageBreakBefore w:val="0"/>
              <w:widowControl w:val="0"/>
              <w:kinsoku/>
              <w:wordWrap/>
              <w:overflowPunct/>
              <w:topLinePunct w:val="0"/>
              <w:autoSpaceDE/>
              <w:autoSpaceDN/>
              <w:bidi w:val="0"/>
              <w:adjustRightInd w:val="0"/>
              <w:snapToGrid w:val="0"/>
              <w:spacing w:line="560" w:lineRule="exact"/>
              <w:ind w:firstLine="0"/>
              <w:jc w:val="center"/>
              <w:textAlignment w:val="auto"/>
              <w:rPr>
                <w:rFonts w:hint="eastAsia" w:ascii="仿宋" w:hAnsi="仿宋" w:eastAsia="仿宋" w:cs="仿宋"/>
                <w:b/>
                <w:sz w:val="28"/>
                <w:szCs w:val="28"/>
              </w:rPr>
            </w:pPr>
            <w:r>
              <w:rPr>
                <w:rFonts w:hint="eastAsia" w:ascii="仿宋" w:hAnsi="仿宋" w:eastAsia="仿宋" w:cs="仿宋"/>
                <w:b/>
                <w:sz w:val="28"/>
                <w:szCs w:val="28"/>
              </w:rPr>
              <w:t>金额/每年</w:t>
            </w:r>
          </w:p>
        </w:tc>
        <w:tc>
          <w:tcPr>
            <w:tcW w:w="1691" w:type="dxa"/>
            <w:vAlign w:val="top"/>
          </w:tcPr>
          <w:p>
            <w:pPr>
              <w:keepNext w:val="0"/>
              <w:keepLines w:val="0"/>
              <w:pageBreakBefore w:val="0"/>
              <w:widowControl w:val="0"/>
              <w:kinsoku/>
              <w:wordWrap/>
              <w:overflowPunct/>
              <w:topLinePunct w:val="0"/>
              <w:autoSpaceDE/>
              <w:autoSpaceDN/>
              <w:bidi w:val="0"/>
              <w:adjustRightInd w:val="0"/>
              <w:snapToGrid w:val="0"/>
              <w:spacing w:line="560" w:lineRule="exact"/>
              <w:ind w:firstLine="0"/>
              <w:jc w:val="center"/>
              <w:textAlignment w:val="auto"/>
              <w:rPr>
                <w:rFonts w:hint="eastAsia" w:ascii="仿宋" w:hAnsi="仿宋" w:eastAsia="仿宋" w:cs="仿宋"/>
                <w:b/>
                <w:sz w:val="28"/>
                <w:szCs w:val="28"/>
              </w:rPr>
            </w:pPr>
            <w:r>
              <w:rPr>
                <w:rFonts w:hint="eastAsia" w:ascii="仿宋" w:hAnsi="仿宋" w:eastAsia="仿宋" w:cs="仿宋"/>
                <w:b/>
                <w:sz w:val="28"/>
                <w:szCs w:val="28"/>
              </w:rPr>
              <w:t>人数/每年</w:t>
            </w:r>
          </w:p>
        </w:tc>
        <w:tc>
          <w:tcPr>
            <w:tcW w:w="2624" w:type="dxa"/>
            <w:vAlign w:val="top"/>
          </w:tcPr>
          <w:p>
            <w:pPr>
              <w:keepNext w:val="0"/>
              <w:keepLines w:val="0"/>
              <w:pageBreakBefore w:val="0"/>
              <w:widowControl w:val="0"/>
              <w:kinsoku/>
              <w:wordWrap/>
              <w:overflowPunct/>
              <w:topLinePunct w:val="0"/>
              <w:autoSpaceDE/>
              <w:autoSpaceDN/>
              <w:bidi w:val="0"/>
              <w:adjustRightInd w:val="0"/>
              <w:snapToGrid w:val="0"/>
              <w:spacing w:line="560" w:lineRule="exact"/>
              <w:ind w:firstLine="0"/>
              <w:jc w:val="center"/>
              <w:textAlignment w:val="auto"/>
              <w:rPr>
                <w:rFonts w:hint="eastAsia" w:ascii="仿宋" w:hAnsi="仿宋" w:eastAsia="仿宋" w:cs="仿宋"/>
                <w:b/>
                <w:sz w:val="28"/>
                <w:szCs w:val="28"/>
              </w:rPr>
            </w:pPr>
            <w:r>
              <w:rPr>
                <w:rFonts w:hint="eastAsia" w:ascii="仿宋" w:hAnsi="仿宋" w:eastAsia="仿宋" w:cs="仿宋"/>
                <w:b/>
                <w:sz w:val="28"/>
                <w:szCs w:val="28"/>
              </w:rPr>
              <w:t>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59" w:type="dxa"/>
            <w:vAlign w:val="top"/>
          </w:tcPr>
          <w:p>
            <w:pPr>
              <w:keepNext w:val="0"/>
              <w:keepLines w:val="0"/>
              <w:pageBreakBefore w:val="0"/>
              <w:widowControl w:val="0"/>
              <w:kinsoku/>
              <w:wordWrap/>
              <w:overflowPunct/>
              <w:topLinePunct w:val="0"/>
              <w:autoSpaceDE/>
              <w:autoSpaceDN/>
              <w:bidi w:val="0"/>
              <w:adjustRightInd w:val="0"/>
              <w:snapToGrid w:val="0"/>
              <w:spacing w:line="560" w:lineRule="exact"/>
              <w:ind w:firstLine="0"/>
              <w:jc w:val="center"/>
              <w:textAlignment w:val="auto"/>
              <w:rPr>
                <w:rFonts w:hint="eastAsia" w:ascii="仿宋" w:hAnsi="仿宋" w:eastAsia="仿宋" w:cs="仿宋"/>
                <w:sz w:val="28"/>
                <w:szCs w:val="28"/>
              </w:rPr>
            </w:pPr>
            <w:r>
              <w:rPr>
                <w:rFonts w:hint="eastAsia" w:ascii="仿宋" w:hAnsi="仿宋" w:eastAsia="仿宋" w:cs="仿宋"/>
                <w:sz w:val="28"/>
                <w:szCs w:val="28"/>
              </w:rPr>
              <w:t>特等奖学金</w:t>
            </w:r>
          </w:p>
        </w:tc>
        <w:tc>
          <w:tcPr>
            <w:tcW w:w="2064" w:type="dxa"/>
            <w:vAlign w:val="top"/>
          </w:tcPr>
          <w:p>
            <w:pPr>
              <w:keepNext w:val="0"/>
              <w:keepLines w:val="0"/>
              <w:pageBreakBefore w:val="0"/>
              <w:widowControl w:val="0"/>
              <w:kinsoku/>
              <w:wordWrap/>
              <w:overflowPunct/>
              <w:topLinePunct w:val="0"/>
              <w:autoSpaceDE/>
              <w:autoSpaceDN/>
              <w:bidi w:val="0"/>
              <w:adjustRightInd w:val="0"/>
              <w:snapToGrid w:val="0"/>
              <w:spacing w:line="560" w:lineRule="exact"/>
              <w:ind w:firstLine="0"/>
              <w:jc w:val="center"/>
              <w:textAlignment w:val="auto"/>
              <w:rPr>
                <w:rFonts w:hint="eastAsia" w:ascii="仿宋" w:hAnsi="仿宋" w:eastAsia="仿宋" w:cs="仿宋"/>
                <w:sz w:val="28"/>
                <w:szCs w:val="28"/>
              </w:rPr>
            </w:pPr>
            <w:r>
              <w:rPr>
                <w:rFonts w:hint="eastAsia" w:ascii="仿宋" w:hAnsi="仿宋" w:eastAsia="仿宋" w:cs="仿宋"/>
                <w:sz w:val="28"/>
                <w:szCs w:val="28"/>
              </w:rPr>
              <w:t>5000元</w:t>
            </w:r>
          </w:p>
        </w:tc>
        <w:tc>
          <w:tcPr>
            <w:tcW w:w="1691" w:type="dxa"/>
            <w:vAlign w:val="top"/>
          </w:tcPr>
          <w:p>
            <w:pPr>
              <w:keepNext w:val="0"/>
              <w:keepLines w:val="0"/>
              <w:pageBreakBefore w:val="0"/>
              <w:widowControl w:val="0"/>
              <w:kinsoku/>
              <w:wordWrap/>
              <w:overflowPunct/>
              <w:topLinePunct w:val="0"/>
              <w:autoSpaceDE/>
              <w:autoSpaceDN/>
              <w:bidi w:val="0"/>
              <w:adjustRightInd w:val="0"/>
              <w:snapToGrid w:val="0"/>
              <w:spacing w:line="560" w:lineRule="exact"/>
              <w:ind w:firstLine="0"/>
              <w:jc w:val="center"/>
              <w:textAlignment w:val="auto"/>
              <w:rPr>
                <w:rFonts w:hint="eastAsia" w:ascii="仿宋" w:hAnsi="仿宋" w:eastAsia="仿宋" w:cs="仿宋"/>
                <w:sz w:val="28"/>
                <w:szCs w:val="28"/>
              </w:rPr>
            </w:pPr>
            <w:r>
              <w:rPr>
                <w:rFonts w:hint="eastAsia" w:ascii="仿宋" w:hAnsi="仿宋" w:eastAsia="仿宋" w:cs="仿宋"/>
                <w:sz w:val="28"/>
                <w:szCs w:val="28"/>
              </w:rPr>
              <w:t>4人</w:t>
            </w:r>
          </w:p>
        </w:tc>
        <w:tc>
          <w:tcPr>
            <w:tcW w:w="2624" w:type="dxa"/>
            <w:vAlign w:val="top"/>
          </w:tcPr>
          <w:p>
            <w:pPr>
              <w:keepNext w:val="0"/>
              <w:keepLines w:val="0"/>
              <w:pageBreakBefore w:val="0"/>
              <w:widowControl w:val="0"/>
              <w:kinsoku/>
              <w:wordWrap/>
              <w:overflowPunct/>
              <w:topLinePunct w:val="0"/>
              <w:autoSpaceDE/>
              <w:autoSpaceDN/>
              <w:bidi w:val="0"/>
              <w:adjustRightInd w:val="0"/>
              <w:snapToGrid w:val="0"/>
              <w:spacing w:line="560" w:lineRule="exact"/>
              <w:ind w:firstLine="0"/>
              <w:jc w:val="center"/>
              <w:textAlignment w:val="auto"/>
              <w:rPr>
                <w:rFonts w:hint="eastAsia" w:ascii="仿宋" w:hAnsi="仿宋" w:eastAsia="仿宋" w:cs="仿宋"/>
                <w:sz w:val="28"/>
                <w:szCs w:val="28"/>
              </w:rPr>
            </w:pPr>
            <w:r>
              <w:rPr>
                <w:rFonts w:hint="eastAsia" w:ascii="仿宋" w:hAnsi="仿宋" w:eastAsia="仿宋" w:cs="仿宋"/>
                <w:sz w:val="28"/>
                <w:szCs w:val="28"/>
              </w:rPr>
              <w:t>专业成绩排名前25%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59" w:type="dxa"/>
            <w:vAlign w:val="top"/>
          </w:tcPr>
          <w:p>
            <w:pPr>
              <w:keepNext w:val="0"/>
              <w:keepLines w:val="0"/>
              <w:pageBreakBefore w:val="0"/>
              <w:widowControl w:val="0"/>
              <w:kinsoku/>
              <w:wordWrap/>
              <w:overflowPunct/>
              <w:topLinePunct w:val="0"/>
              <w:autoSpaceDE/>
              <w:autoSpaceDN/>
              <w:bidi w:val="0"/>
              <w:adjustRightInd w:val="0"/>
              <w:snapToGrid w:val="0"/>
              <w:spacing w:line="560" w:lineRule="exact"/>
              <w:ind w:firstLine="0"/>
              <w:jc w:val="center"/>
              <w:textAlignment w:val="auto"/>
              <w:rPr>
                <w:rFonts w:hint="eastAsia" w:ascii="仿宋" w:hAnsi="仿宋" w:eastAsia="仿宋" w:cs="仿宋"/>
                <w:sz w:val="28"/>
                <w:szCs w:val="28"/>
              </w:rPr>
            </w:pPr>
            <w:r>
              <w:rPr>
                <w:rFonts w:hint="eastAsia" w:ascii="仿宋" w:hAnsi="仿宋" w:eastAsia="仿宋" w:cs="仿宋"/>
                <w:sz w:val="28"/>
                <w:szCs w:val="28"/>
              </w:rPr>
              <w:t>一等奖学金</w:t>
            </w:r>
          </w:p>
        </w:tc>
        <w:tc>
          <w:tcPr>
            <w:tcW w:w="2064" w:type="dxa"/>
            <w:vAlign w:val="top"/>
          </w:tcPr>
          <w:p>
            <w:pPr>
              <w:keepNext w:val="0"/>
              <w:keepLines w:val="0"/>
              <w:pageBreakBefore w:val="0"/>
              <w:widowControl w:val="0"/>
              <w:kinsoku/>
              <w:wordWrap/>
              <w:overflowPunct/>
              <w:topLinePunct w:val="0"/>
              <w:autoSpaceDE/>
              <w:autoSpaceDN/>
              <w:bidi w:val="0"/>
              <w:adjustRightInd w:val="0"/>
              <w:snapToGrid w:val="0"/>
              <w:spacing w:line="560" w:lineRule="exact"/>
              <w:ind w:firstLine="0"/>
              <w:jc w:val="center"/>
              <w:textAlignment w:val="auto"/>
              <w:rPr>
                <w:rFonts w:hint="eastAsia" w:ascii="仿宋" w:hAnsi="仿宋" w:eastAsia="仿宋" w:cs="仿宋"/>
                <w:sz w:val="28"/>
                <w:szCs w:val="28"/>
              </w:rPr>
            </w:pPr>
            <w:r>
              <w:rPr>
                <w:rFonts w:hint="eastAsia" w:ascii="仿宋" w:hAnsi="仿宋" w:eastAsia="仿宋" w:cs="仿宋"/>
                <w:sz w:val="28"/>
                <w:szCs w:val="28"/>
              </w:rPr>
              <w:t>4000元</w:t>
            </w:r>
          </w:p>
        </w:tc>
        <w:tc>
          <w:tcPr>
            <w:tcW w:w="1691" w:type="dxa"/>
            <w:vAlign w:val="top"/>
          </w:tcPr>
          <w:p>
            <w:pPr>
              <w:keepNext w:val="0"/>
              <w:keepLines w:val="0"/>
              <w:pageBreakBefore w:val="0"/>
              <w:widowControl w:val="0"/>
              <w:kinsoku/>
              <w:wordWrap/>
              <w:overflowPunct/>
              <w:topLinePunct w:val="0"/>
              <w:autoSpaceDE/>
              <w:autoSpaceDN/>
              <w:bidi w:val="0"/>
              <w:adjustRightInd w:val="0"/>
              <w:snapToGrid w:val="0"/>
              <w:spacing w:line="560" w:lineRule="exact"/>
              <w:ind w:firstLine="0"/>
              <w:jc w:val="center"/>
              <w:textAlignment w:val="auto"/>
              <w:rPr>
                <w:rFonts w:hint="eastAsia" w:ascii="仿宋" w:hAnsi="仿宋" w:eastAsia="仿宋" w:cs="仿宋"/>
                <w:sz w:val="28"/>
                <w:szCs w:val="28"/>
              </w:rPr>
            </w:pPr>
            <w:r>
              <w:rPr>
                <w:rFonts w:hint="eastAsia" w:ascii="仿宋" w:hAnsi="仿宋" w:eastAsia="仿宋" w:cs="仿宋"/>
                <w:sz w:val="28"/>
                <w:szCs w:val="28"/>
              </w:rPr>
              <w:t>8人</w:t>
            </w:r>
          </w:p>
        </w:tc>
        <w:tc>
          <w:tcPr>
            <w:tcW w:w="2624" w:type="dxa"/>
            <w:vAlign w:val="top"/>
          </w:tcPr>
          <w:p>
            <w:pPr>
              <w:keepNext w:val="0"/>
              <w:keepLines w:val="0"/>
              <w:pageBreakBefore w:val="0"/>
              <w:widowControl w:val="0"/>
              <w:kinsoku/>
              <w:wordWrap/>
              <w:overflowPunct/>
              <w:topLinePunct w:val="0"/>
              <w:autoSpaceDE/>
              <w:autoSpaceDN/>
              <w:bidi w:val="0"/>
              <w:adjustRightInd w:val="0"/>
              <w:snapToGrid w:val="0"/>
              <w:spacing w:line="560" w:lineRule="exact"/>
              <w:ind w:firstLine="0"/>
              <w:jc w:val="center"/>
              <w:textAlignment w:val="auto"/>
              <w:rPr>
                <w:rFonts w:hint="eastAsia" w:ascii="仿宋" w:hAnsi="仿宋" w:eastAsia="仿宋" w:cs="仿宋"/>
                <w:sz w:val="28"/>
                <w:szCs w:val="28"/>
              </w:rPr>
            </w:pPr>
            <w:r>
              <w:rPr>
                <w:rFonts w:hint="eastAsia" w:ascii="仿宋" w:hAnsi="仿宋" w:eastAsia="仿宋" w:cs="仿宋"/>
                <w:sz w:val="28"/>
                <w:szCs w:val="28"/>
              </w:rPr>
              <w:t>专业成绩排名前35%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59" w:type="dxa"/>
            <w:vAlign w:val="top"/>
          </w:tcPr>
          <w:p>
            <w:pPr>
              <w:keepNext w:val="0"/>
              <w:keepLines w:val="0"/>
              <w:pageBreakBefore w:val="0"/>
              <w:widowControl w:val="0"/>
              <w:kinsoku/>
              <w:wordWrap/>
              <w:overflowPunct/>
              <w:topLinePunct w:val="0"/>
              <w:autoSpaceDE/>
              <w:autoSpaceDN/>
              <w:bidi w:val="0"/>
              <w:adjustRightInd w:val="0"/>
              <w:snapToGrid w:val="0"/>
              <w:spacing w:line="560" w:lineRule="exact"/>
              <w:ind w:firstLine="0"/>
              <w:jc w:val="center"/>
              <w:textAlignment w:val="auto"/>
              <w:rPr>
                <w:rFonts w:hint="eastAsia" w:ascii="仿宋" w:hAnsi="仿宋" w:eastAsia="仿宋" w:cs="仿宋"/>
                <w:sz w:val="28"/>
                <w:szCs w:val="28"/>
              </w:rPr>
            </w:pPr>
            <w:r>
              <w:rPr>
                <w:rFonts w:hint="eastAsia" w:ascii="仿宋" w:hAnsi="仿宋" w:eastAsia="仿宋" w:cs="仿宋"/>
                <w:sz w:val="28"/>
                <w:szCs w:val="28"/>
              </w:rPr>
              <w:t>二等奖学金</w:t>
            </w:r>
          </w:p>
        </w:tc>
        <w:tc>
          <w:tcPr>
            <w:tcW w:w="2064" w:type="dxa"/>
            <w:vAlign w:val="top"/>
          </w:tcPr>
          <w:p>
            <w:pPr>
              <w:keepNext w:val="0"/>
              <w:keepLines w:val="0"/>
              <w:pageBreakBefore w:val="0"/>
              <w:widowControl w:val="0"/>
              <w:kinsoku/>
              <w:wordWrap/>
              <w:overflowPunct/>
              <w:topLinePunct w:val="0"/>
              <w:autoSpaceDE/>
              <w:autoSpaceDN/>
              <w:bidi w:val="0"/>
              <w:adjustRightInd w:val="0"/>
              <w:snapToGrid w:val="0"/>
              <w:spacing w:line="560" w:lineRule="exact"/>
              <w:ind w:firstLine="0"/>
              <w:jc w:val="center"/>
              <w:textAlignment w:val="auto"/>
              <w:rPr>
                <w:rFonts w:hint="eastAsia" w:ascii="仿宋" w:hAnsi="仿宋" w:eastAsia="仿宋" w:cs="仿宋"/>
                <w:sz w:val="28"/>
                <w:szCs w:val="28"/>
              </w:rPr>
            </w:pPr>
            <w:r>
              <w:rPr>
                <w:rFonts w:hint="eastAsia" w:ascii="仿宋" w:hAnsi="仿宋" w:eastAsia="仿宋" w:cs="仿宋"/>
                <w:sz w:val="28"/>
                <w:szCs w:val="28"/>
              </w:rPr>
              <w:t>3000元</w:t>
            </w:r>
          </w:p>
        </w:tc>
        <w:tc>
          <w:tcPr>
            <w:tcW w:w="1691" w:type="dxa"/>
            <w:vAlign w:val="top"/>
          </w:tcPr>
          <w:p>
            <w:pPr>
              <w:keepNext w:val="0"/>
              <w:keepLines w:val="0"/>
              <w:pageBreakBefore w:val="0"/>
              <w:widowControl w:val="0"/>
              <w:kinsoku/>
              <w:wordWrap/>
              <w:overflowPunct/>
              <w:topLinePunct w:val="0"/>
              <w:autoSpaceDE/>
              <w:autoSpaceDN/>
              <w:bidi w:val="0"/>
              <w:adjustRightInd w:val="0"/>
              <w:snapToGrid w:val="0"/>
              <w:spacing w:line="560" w:lineRule="exact"/>
              <w:ind w:firstLine="0"/>
              <w:jc w:val="center"/>
              <w:textAlignment w:val="auto"/>
              <w:rPr>
                <w:rFonts w:hint="eastAsia" w:ascii="仿宋" w:hAnsi="仿宋" w:eastAsia="仿宋" w:cs="仿宋"/>
                <w:sz w:val="28"/>
                <w:szCs w:val="28"/>
              </w:rPr>
            </w:pPr>
            <w:r>
              <w:rPr>
                <w:rFonts w:hint="eastAsia" w:ascii="仿宋" w:hAnsi="仿宋" w:eastAsia="仿宋" w:cs="仿宋"/>
                <w:sz w:val="28"/>
                <w:szCs w:val="28"/>
              </w:rPr>
              <w:t>8人</w:t>
            </w:r>
          </w:p>
        </w:tc>
        <w:tc>
          <w:tcPr>
            <w:tcW w:w="2624" w:type="dxa"/>
            <w:vAlign w:val="top"/>
          </w:tcPr>
          <w:p>
            <w:pPr>
              <w:keepNext w:val="0"/>
              <w:keepLines w:val="0"/>
              <w:pageBreakBefore w:val="0"/>
              <w:widowControl w:val="0"/>
              <w:kinsoku/>
              <w:wordWrap/>
              <w:overflowPunct/>
              <w:topLinePunct w:val="0"/>
              <w:autoSpaceDE/>
              <w:autoSpaceDN/>
              <w:bidi w:val="0"/>
              <w:adjustRightInd w:val="0"/>
              <w:snapToGrid w:val="0"/>
              <w:spacing w:line="560" w:lineRule="exact"/>
              <w:ind w:firstLine="0"/>
              <w:jc w:val="center"/>
              <w:textAlignment w:val="auto"/>
              <w:rPr>
                <w:rFonts w:hint="eastAsia" w:ascii="仿宋" w:hAnsi="仿宋" w:eastAsia="仿宋" w:cs="仿宋"/>
                <w:sz w:val="28"/>
                <w:szCs w:val="28"/>
              </w:rPr>
            </w:pPr>
            <w:r>
              <w:rPr>
                <w:rFonts w:hint="eastAsia" w:ascii="仿宋" w:hAnsi="仿宋" w:eastAsia="仿宋" w:cs="仿宋"/>
                <w:sz w:val="28"/>
                <w:szCs w:val="28"/>
              </w:rPr>
              <w:t>专业成绩排名前45%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59" w:type="dxa"/>
            <w:vAlign w:val="top"/>
          </w:tcPr>
          <w:p>
            <w:pPr>
              <w:keepNext w:val="0"/>
              <w:keepLines w:val="0"/>
              <w:pageBreakBefore w:val="0"/>
              <w:widowControl w:val="0"/>
              <w:kinsoku/>
              <w:wordWrap/>
              <w:overflowPunct/>
              <w:topLinePunct w:val="0"/>
              <w:autoSpaceDE/>
              <w:autoSpaceDN/>
              <w:bidi w:val="0"/>
              <w:adjustRightInd w:val="0"/>
              <w:snapToGrid w:val="0"/>
              <w:spacing w:line="560" w:lineRule="exact"/>
              <w:ind w:firstLine="0"/>
              <w:jc w:val="center"/>
              <w:textAlignment w:val="auto"/>
              <w:rPr>
                <w:rFonts w:hint="eastAsia" w:ascii="仿宋" w:hAnsi="仿宋" w:eastAsia="仿宋" w:cs="仿宋"/>
                <w:sz w:val="28"/>
                <w:szCs w:val="28"/>
              </w:rPr>
            </w:pPr>
            <w:r>
              <w:rPr>
                <w:rFonts w:hint="eastAsia" w:ascii="仿宋" w:hAnsi="仿宋" w:eastAsia="仿宋" w:cs="仿宋"/>
                <w:sz w:val="28"/>
                <w:szCs w:val="28"/>
              </w:rPr>
              <w:t>三等奖学金</w:t>
            </w:r>
          </w:p>
        </w:tc>
        <w:tc>
          <w:tcPr>
            <w:tcW w:w="2064" w:type="dxa"/>
            <w:vAlign w:val="top"/>
          </w:tcPr>
          <w:p>
            <w:pPr>
              <w:keepNext w:val="0"/>
              <w:keepLines w:val="0"/>
              <w:pageBreakBefore w:val="0"/>
              <w:widowControl w:val="0"/>
              <w:kinsoku/>
              <w:wordWrap/>
              <w:overflowPunct/>
              <w:topLinePunct w:val="0"/>
              <w:autoSpaceDE/>
              <w:autoSpaceDN/>
              <w:bidi w:val="0"/>
              <w:adjustRightInd w:val="0"/>
              <w:snapToGrid w:val="0"/>
              <w:spacing w:line="560" w:lineRule="exact"/>
              <w:ind w:firstLine="0"/>
              <w:jc w:val="center"/>
              <w:textAlignment w:val="auto"/>
              <w:rPr>
                <w:rFonts w:hint="eastAsia" w:ascii="仿宋" w:hAnsi="仿宋" w:eastAsia="仿宋" w:cs="仿宋"/>
                <w:sz w:val="28"/>
                <w:szCs w:val="28"/>
              </w:rPr>
            </w:pPr>
            <w:r>
              <w:rPr>
                <w:rFonts w:hint="eastAsia" w:ascii="仿宋" w:hAnsi="仿宋" w:eastAsia="仿宋" w:cs="仿宋"/>
                <w:sz w:val="28"/>
                <w:szCs w:val="28"/>
              </w:rPr>
              <w:t>2000元</w:t>
            </w:r>
          </w:p>
        </w:tc>
        <w:tc>
          <w:tcPr>
            <w:tcW w:w="1691" w:type="dxa"/>
            <w:vAlign w:val="top"/>
          </w:tcPr>
          <w:p>
            <w:pPr>
              <w:keepNext w:val="0"/>
              <w:keepLines w:val="0"/>
              <w:pageBreakBefore w:val="0"/>
              <w:widowControl w:val="0"/>
              <w:kinsoku/>
              <w:wordWrap/>
              <w:overflowPunct/>
              <w:topLinePunct w:val="0"/>
              <w:autoSpaceDE/>
              <w:autoSpaceDN/>
              <w:bidi w:val="0"/>
              <w:adjustRightInd w:val="0"/>
              <w:snapToGrid w:val="0"/>
              <w:spacing w:line="560" w:lineRule="exact"/>
              <w:ind w:firstLine="0"/>
              <w:jc w:val="center"/>
              <w:textAlignment w:val="auto"/>
              <w:rPr>
                <w:rFonts w:hint="eastAsia" w:ascii="仿宋" w:hAnsi="仿宋" w:eastAsia="仿宋" w:cs="仿宋"/>
                <w:sz w:val="28"/>
                <w:szCs w:val="28"/>
              </w:rPr>
            </w:pPr>
            <w:r>
              <w:rPr>
                <w:rFonts w:hint="eastAsia" w:ascii="仿宋" w:hAnsi="仿宋" w:eastAsia="仿宋" w:cs="仿宋"/>
                <w:sz w:val="28"/>
                <w:szCs w:val="28"/>
              </w:rPr>
              <w:t>12人</w:t>
            </w:r>
          </w:p>
        </w:tc>
        <w:tc>
          <w:tcPr>
            <w:tcW w:w="2624" w:type="dxa"/>
            <w:vAlign w:val="top"/>
          </w:tcPr>
          <w:p>
            <w:pPr>
              <w:keepNext w:val="0"/>
              <w:keepLines w:val="0"/>
              <w:pageBreakBefore w:val="0"/>
              <w:widowControl w:val="0"/>
              <w:kinsoku/>
              <w:wordWrap/>
              <w:overflowPunct/>
              <w:topLinePunct w:val="0"/>
              <w:autoSpaceDE/>
              <w:autoSpaceDN/>
              <w:bidi w:val="0"/>
              <w:adjustRightInd w:val="0"/>
              <w:snapToGrid w:val="0"/>
              <w:spacing w:line="560" w:lineRule="exact"/>
              <w:ind w:firstLine="0"/>
              <w:jc w:val="center"/>
              <w:textAlignment w:val="auto"/>
              <w:rPr>
                <w:rFonts w:hint="eastAsia" w:ascii="仿宋" w:hAnsi="仿宋" w:eastAsia="仿宋" w:cs="仿宋"/>
                <w:sz w:val="28"/>
                <w:szCs w:val="28"/>
              </w:rPr>
            </w:pPr>
            <w:r>
              <w:rPr>
                <w:rFonts w:hint="eastAsia" w:ascii="仿宋" w:hAnsi="仿宋" w:eastAsia="仿宋" w:cs="仿宋"/>
                <w:sz w:val="28"/>
                <w:szCs w:val="28"/>
              </w:rPr>
              <w:t>专业成绩排名前55%</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评选条件：</w:t>
      </w:r>
    </w:p>
    <w:p>
      <w:pPr>
        <w:keepNext w:val="0"/>
        <w:keepLines w:val="0"/>
        <w:pageBreakBefore w:val="0"/>
        <w:widowControl w:val="0"/>
        <w:numPr>
          <w:ilvl w:val="0"/>
          <w:numId w:val="83"/>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北京交通大学大二至大四的全日制本科生，遵守学校纪律及国家法律法规； </w:t>
      </w:r>
    </w:p>
    <w:p>
      <w:pPr>
        <w:keepNext w:val="0"/>
        <w:keepLines w:val="0"/>
        <w:pageBreakBefore w:val="0"/>
        <w:widowControl w:val="0"/>
        <w:numPr>
          <w:ilvl w:val="0"/>
          <w:numId w:val="83"/>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学生创业者；</w:t>
      </w:r>
    </w:p>
    <w:p>
      <w:pPr>
        <w:keepNext w:val="0"/>
        <w:keepLines w:val="0"/>
        <w:pageBreakBefore w:val="0"/>
        <w:widowControl w:val="0"/>
        <w:numPr>
          <w:ilvl w:val="0"/>
          <w:numId w:val="83"/>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在某一领域有创新或发明创造者；</w:t>
      </w:r>
    </w:p>
    <w:p>
      <w:pPr>
        <w:keepNext w:val="0"/>
        <w:keepLines w:val="0"/>
        <w:pageBreakBefore w:val="0"/>
        <w:widowControl w:val="0"/>
        <w:numPr>
          <w:ilvl w:val="0"/>
          <w:numId w:val="83"/>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在全国、省市、校级各类竞赛中获奖者；</w:t>
      </w:r>
    </w:p>
    <w:p>
      <w:pPr>
        <w:keepNext w:val="0"/>
        <w:keepLines w:val="0"/>
        <w:pageBreakBefore w:val="0"/>
        <w:widowControl w:val="0"/>
        <w:numPr>
          <w:ilvl w:val="0"/>
          <w:numId w:val="83"/>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在社会组织或学校院系班级组织或社团中担任职务活动成绩突出者；</w:t>
      </w:r>
    </w:p>
    <w:p>
      <w:pPr>
        <w:keepNext w:val="0"/>
        <w:keepLines w:val="0"/>
        <w:pageBreakBefore w:val="0"/>
        <w:widowControl w:val="0"/>
        <w:numPr>
          <w:ilvl w:val="0"/>
          <w:numId w:val="83"/>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家庭特别贫困的学生；</w:t>
      </w:r>
    </w:p>
    <w:p>
      <w:pPr>
        <w:keepNext w:val="0"/>
        <w:keepLines w:val="0"/>
        <w:pageBreakBefore w:val="0"/>
        <w:widowControl w:val="0"/>
        <w:numPr>
          <w:ilvl w:val="0"/>
          <w:numId w:val="83"/>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单亲家庭或父母有一方（或双方）去世的学生；</w:t>
      </w:r>
    </w:p>
    <w:p>
      <w:pPr>
        <w:keepNext w:val="0"/>
        <w:keepLines w:val="0"/>
        <w:pageBreakBefore w:val="0"/>
        <w:widowControl w:val="0"/>
        <w:numPr>
          <w:ilvl w:val="0"/>
          <w:numId w:val="83"/>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奖学金奖励的农村户籍学生及城镇户籍学生的总比例应为1:1，奖学金资助对象不得偏向于偏远农村及小城镇学生，大城市中符合奖学金条件的学生应得到同样重视；</w:t>
      </w:r>
    </w:p>
    <w:p>
      <w:pPr>
        <w:keepNext w:val="0"/>
        <w:keepLines w:val="0"/>
        <w:pageBreakBefore w:val="0"/>
        <w:widowControl w:val="0"/>
        <w:numPr>
          <w:ilvl w:val="0"/>
          <w:numId w:val="83"/>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学生必须具备本协议第三条表格中成绩标准及本第1项条件，满足上述条件后，符合本第2-7项条件之一者即可申请，如申请的人数过多，奖学金优先分配给符合2-7条标准最多的同学，各等奖学金均应按照本第8项比例评选。</w:t>
      </w:r>
    </w:p>
    <w:p>
      <w:pPr>
        <w:keepNext w:val="0"/>
        <w:keepLines w:val="0"/>
        <w:pageBreakBefore w:val="0"/>
        <w:widowControl w:val="0"/>
        <w:kinsoku/>
        <w:wordWrap/>
        <w:overflowPunct/>
        <w:topLinePunct w:val="0"/>
        <w:autoSpaceDE/>
        <w:autoSpaceDN/>
        <w:bidi w:val="0"/>
        <w:spacing w:line="560" w:lineRule="exact"/>
        <w:textAlignment w:val="auto"/>
        <w:outlineLvl w:val="9"/>
        <w:rPr>
          <w:rFonts w:hint="eastAsia" w:ascii="仿宋" w:hAnsi="仿宋" w:eastAsia="仿宋" w:cs="仿宋"/>
          <w:b/>
          <w:bCs/>
          <w:sz w:val="28"/>
          <w:szCs w:val="28"/>
        </w:rPr>
      </w:pPr>
      <w:bookmarkStart w:id="44" w:name="_Toc24146"/>
      <w:r>
        <w:rPr>
          <w:rFonts w:hint="eastAsia" w:ascii="仿宋" w:hAnsi="仿宋" w:eastAsia="仿宋" w:cs="仿宋"/>
          <w:b/>
          <w:bCs/>
          <w:sz w:val="28"/>
          <w:szCs w:val="28"/>
        </w:rPr>
        <w:t>评选办法和评选程序</w:t>
      </w:r>
      <w:bookmarkEnd w:id="44"/>
      <w:r>
        <w:rPr>
          <w:rFonts w:hint="eastAsia" w:ascii="仿宋" w:hAnsi="仿宋" w:eastAsia="仿宋" w:cs="仿宋"/>
          <w:b/>
          <w:bCs/>
          <w:sz w:val="28"/>
          <w:szCs w:val="28"/>
        </w:rPr>
        <w:t xml:space="preserve"> </w:t>
      </w:r>
    </w:p>
    <w:p>
      <w:pPr>
        <w:keepNext w:val="0"/>
        <w:keepLines w:val="0"/>
        <w:pageBreakBefore w:val="0"/>
        <w:widowControl w:val="0"/>
        <w:numPr>
          <w:ilvl w:val="0"/>
          <w:numId w:val="84"/>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成立“照坤奖学金”评审管理领导小组。评审管理领导小组，由北京交通大学教育基金会（下称“基金会”）指派一名代表、学生工作处指派一名代表和黄超校友本人或其授权的代表组成。具体联络组织工作由北京交通大学学生工作处负责；</w:t>
      </w:r>
    </w:p>
    <w:p>
      <w:pPr>
        <w:keepNext w:val="0"/>
        <w:keepLines w:val="0"/>
        <w:pageBreakBefore w:val="0"/>
        <w:widowControl w:val="0"/>
        <w:numPr>
          <w:ilvl w:val="0"/>
          <w:numId w:val="84"/>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评选日后的10个工作日内由申请人本人填写申请表并提供相关证明（联系方式、创业、创新、发明创造材料或获奖证明、活动材料、特困证明（或村委会、居委会提供的相关贫困证明）等），学院评审小组应在评选日后的第20个工作日前完成初审及学院内公示，学院评审小组应在评选日后的第25个工作日前上报校学生工作处。学生工作处应在评选日后的第30个工作日前将学生相关材料报照坤奖学金评审领导小组每位成员各一份（复印件、扫描件皆可），依照本管理办法第五条第3款审批，评审小组成员及接触学生材料的工作人员应对学生提供的信息、证明予以保密。</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cs="仿宋"/>
          <w:b/>
          <w:bCs/>
          <w:sz w:val="28"/>
          <w:szCs w:val="28"/>
        </w:rPr>
      </w:pPr>
      <w:r>
        <w:rPr>
          <w:rFonts w:hint="eastAsia" w:ascii="仿宋" w:hAnsi="仿宋" w:eastAsia="仿宋" w:cs="仿宋"/>
          <w:b/>
          <w:bCs/>
          <w:sz w:val="28"/>
          <w:szCs w:val="28"/>
          <w:lang w:val="en-US" w:eastAsia="zh-CN"/>
        </w:rPr>
        <w:t>审批管理：</w:t>
      </w:r>
    </w:p>
    <w:p>
      <w:pPr>
        <w:keepNext w:val="0"/>
        <w:keepLines w:val="0"/>
        <w:pageBreakBefore w:val="0"/>
        <w:widowControl w:val="0"/>
        <w:numPr>
          <w:ilvl w:val="0"/>
          <w:numId w:val="85"/>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审批内容：申请人是否符合本管理办法约定的奖学金发放条件与标准，是否向申请人发放照坤奖学金及向具体申请人发放奖学金的具体金额；</w:t>
      </w:r>
    </w:p>
    <w:p>
      <w:pPr>
        <w:keepNext w:val="0"/>
        <w:keepLines w:val="0"/>
        <w:pageBreakBefore w:val="0"/>
        <w:widowControl w:val="0"/>
        <w:numPr>
          <w:ilvl w:val="0"/>
          <w:numId w:val="85"/>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审批方式：对学生提供的申请表及相关证明进行审核，必要时可与申请人进行电话访谈或面谈；</w:t>
      </w:r>
    </w:p>
    <w:p>
      <w:pPr>
        <w:keepNext w:val="0"/>
        <w:keepLines w:val="0"/>
        <w:pageBreakBefore w:val="0"/>
        <w:widowControl w:val="0"/>
        <w:numPr>
          <w:ilvl w:val="0"/>
          <w:numId w:val="85"/>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具体审批程序为：三方代表商议决定，但黄超校友本人或其指派的代表拥有一票同意/否决权。</w:t>
      </w:r>
    </w:p>
    <w:p>
      <w:pPr>
        <w:keepNext w:val="0"/>
        <w:keepLines w:val="0"/>
        <w:pageBreakBefore w:val="0"/>
        <w:widowControl w:val="0"/>
        <w:numPr>
          <w:ilvl w:val="0"/>
          <w:numId w:val="85"/>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审批结果：须形成当期书面照坤奖学金使用计划，明确列明奖励人员、奖励金额及奖励款项的发放计划与发放时间，该奖学金使用计划由黄超校友本人或其授权代表签字方为有效。</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b/>
          <w:bCs/>
          <w:sz w:val="28"/>
          <w:szCs w:val="28"/>
        </w:rPr>
      </w:pPr>
      <w:bookmarkStart w:id="45" w:name="_Toc2648"/>
      <w:r>
        <w:rPr>
          <w:rFonts w:hint="eastAsia" w:ascii="仿宋" w:hAnsi="仿宋" w:eastAsia="仿宋" w:cs="仿宋"/>
          <w:b/>
          <w:bCs/>
          <w:sz w:val="28"/>
          <w:szCs w:val="28"/>
        </w:rPr>
        <w:t>基金管理</w:t>
      </w:r>
      <w:bookmarkEnd w:id="45"/>
    </w:p>
    <w:p>
      <w:pPr>
        <w:keepNext w:val="0"/>
        <w:keepLines w:val="0"/>
        <w:pageBreakBefore w:val="0"/>
        <w:widowControl w:val="0"/>
        <w:numPr>
          <w:ilvl w:val="0"/>
          <w:numId w:val="86"/>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当年未使用或被追缴回的基金应累计在下一年的相同基金项目下使用，不得挪作他用；</w:t>
      </w:r>
    </w:p>
    <w:p>
      <w:pPr>
        <w:keepNext w:val="0"/>
        <w:keepLines w:val="0"/>
        <w:pageBreakBefore w:val="0"/>
        <w:widowControl w:val="0"/>
        <w:numPr>
          <w:ilvl w:val="0"/>
          <w:numId w:val="86"/>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黄超校友或其授权代表有权向基金会查询基金的使用、管理情况，并提出意见和建议。对于黄超校友或其授权代表的查询，基金会应当及时、如实答复；</w:t>
      </w:r>
    </w:p>
    <w:p>
      <w:pPr>
        <w:keepNext w:val="0"/>
        <w:keepLines w:val="0"/>
        <w:pageBreakBefore w:val="0"/>
        <w:widowControl w:val="0"/>
        <w:numPr>
          <w:ilvl w:val="0"/>
          <w:numId w:val="86"/>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基金会每自然年末以书面形式向黄超校友汇报基金使用及结余情况，并择期邀请相关领导出席奖学金颁奖仪式。</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28"/>
          <w:szCs w:val="28"/>
        </w:rPr>
      </w:pPr>
    </w:p>
    <w:p>
      <w:pPr>
        <w:pStyle w:val="2"/>
        <w:keepNext/>
        <w:keepLines/>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Chars="0" w:right="0" w:rightChars="0"/>
        <w:jc w:val="both"/>
        <w:textAlignment w:val="auto"/>
        <w:outlineLvl w:val="0"/>
        <w:rPr>
          <w:rFonts w:hint="eastAsia" w:ascii="仿宋" w:hAnsi="仿宋" w:eastAsia="仿宋" w:cs="仿宋"/>
          <w:b w:val="0"/>
          <w:bCs/>
          <w:sz w:val="30"/>
          <w:szCs w:val="30"/>
          <w:lang w:val="en-US" w:eastAsia="zh-CN"/>
        </w:rPr>
      </w:pPr>
    </w:p>
    <w:p>
      <w:pPr>
        <w:pStyle w:val="2"/>
        <w:keepNext/>
        <w:keepLines/>
        <w:pageBreakBefore w:val="0"/>
        <w:widowControl w:val="0"/>
        <w:numPr>
          <w:ilvl w:val="0"/>
          <w:numId w:val="1"/>
        </w:numPr>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0"/>
        <w:rPr>
          <w:rFonts w:hint="eastAsia" w:ascii="黑体" w:hAnsi="黑体" w:eastAsia="黑体" w:cs="黑体"/>
          <w:b w:val="0"/>
          <w:bCs/>
          <w:sz w:val="30"/>
          <w:szCs w:val="30"/>
          <w:lang w:val="en-US" w:eastAsia="zh-CN"/>
        </w:rPr>
      </w:pPr>
      <w:bookmarkStart w:id="46" w:name="_Toc9342"/>
      <w:r>
        <w:rPr>
          <w:rFonts w:hint="eastAsia" w:ascii="黑体" w:hAnsi="黑体" w:eastAsia="黑体" w:cs="黑体"/>
          <w:b w:val="0"/>
          <w:bCs/>
          <w:sz w:val="30"/>
          <w:szCs w:val="30"/>
          <w:lang w:val="en-US" w:eastAsia="zh-CN"/>
        </w:rPr>
        <w:t>信科久久学长奖学金</w:t>
      </w:r>
      <w:bookmarkEnd w:id="46"/>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项目号：</w:t>
      </w:r>
      <w:r>
        <w:rPr>
          <w:rFonts w:hint="eastAsia" w:ascii="仿宋" w:hAnsi="仿宋" w:eastAsia="仿宋" w:cs="仿宋"/>
          <w:b w:val="0"/>
          <w:bCs w:val="0"/>
          <w:sz w:val="28"/>
          <w:szCs w:val="28"/>
          <w:lang w:val="en-US" w:eastAsia="zh-CN"/>
        </w:rPr>
        <w:t>08010133</w:t>
      </w:r>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捐赠方：</w:t>
      </w:r>
      <w:r>
        <w:rPr>
          <w:rFonts w:hint="eastAsia" w:ascii="仿宋" w:hAnsi="仿宋" w:eastAsia="仿宋" w:cs="仿宋"/>
          <w:b w:val="0"/>
          <w:bCs w:val="0"/>
          <w:sz w:val="28"/>
          <w:szCs w:val="28"/>
          <w:lang w:val="en-US" w:eastAsia="zh-CN"/>
        </w:rPr>
        <w:t>信科久久级校友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评选范围：</w:t>
      </w:r>
      <w:r>
        <w:rPr>
          <w:rFonts w:hint="eastAsia" w:ascii="仿宋" w:hAnsi="仿宋" w:eastAsia="仿宋" w:cs="仿宋"/>
          <w:b w:val="0"/>
          <w:bCs w:val="0"/>
          <w:sz w:val="28"/>
          <w:szCs w:val="28"/>
          <w:lang w:val="en-US" w:eastAsia="zh-CN"/>
        </w:rPr>
        <w:t>北京交通大学理学院科研创新和学术竞赛方面表现突出、有发展潜力的优秀全日制数学类专业本科生</w:t>
      </w:r>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名额及金额：</w:t>
      </w:r>
      <w:r>
        <w:rPr>
          <w:rFonts w:hint="eastAsia" w:ascii="仿宋" w:hAnsi="仿宋" w:eastAsia="仿宋" w:cs="仿宋"/>
          <w:b w:val="0"/>
          <w:bCs w:val="0"/>
          <w:sz w:val="28"/>
          <w:szCs w:val="28"/>
          <w:lang w:val="en-US" w:eastAsia="zh-CN"/>
        </w:rPr>
        <w:t>共5名，6000元/人˙年</w:t>
      </w:r>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评选条件：</w:t>
      </w:r>
    </w:p>
    <w:p>
      <w:pPr>
        <w:keepNext w:val="0"/>
        <w:keepLines w:val="0"/>
        <w:pageBreakBefore w:val="0"/>
        <w:widowControl w:val="0"/>
        <w:numPr>
          <w:ilvl w:val="0"/>
          <w:numId w:val="87"/>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思想进步，热爱祖国，热爱中国共产党；</w:t>
      </w:r>
    </w:p>
    <w:p>
      <w:pPr>
        <w:keepNext w:val="0"/>
        <w:keepLines w:val="0"/>
        <w:pageBreakBefore w:val="0"/>
        <w:widowControl w:val="0"/>
        <w:numPr>
          <w:ilvl w:val="0"/>
          <w:numId w:val="87"/>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遵守国家法律法规和校纪校规，品行端正，无违法违纪行为；</w:t>
      </w:r>
    </w:p>
    <w:p>
      <w:pPr>
        <w:keepNext w:val="0"/>
        <w:keepLines w:val="0"/>
        <w:pageBreakBefore w:val="0"/>
        <w:widowControl w:val="0"/>
        <w:numPr>
          <w:ilvl w:val="0"/>
          <w:numId w:val="87"/>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学习勤奋刻苦，加权平均学习成绩居专业前50%；</w:t>
      </w:r>
    </w:p>
    <w:p>
      <w:pPr>
        <w:keepNext w:val="0"/>
        <w:keepLines w:val="0"/>
        <w:pageBreakBefore w:val="0"/>
        <w:widowControl w:val="0"/>
        <w:numPr>
          <w:ilvl w:val="0"/>
          <w:numId w:val="87"/>
        </w:numPr>
        <w:tabs>
          <w:tab w:val="left" w:pos="8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具有较高的综合素质和科研创新潜质，在学科竞赛和创新创业训练项目中具有较强的钻研与实践精神。</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200" w:right="0" w:rightChars="0"/>
        <w:jc w:val="both"/>
        <w:textAlignment w:val="auto"/>
        <w:outlineLvl w:val="9"/>
        <w:rPr>
          <w:rFonts w:hint="eastAsia" w:ascii="仿宋" w:hAnsi="仿宋" w:eastAsia="仿宋" w:cs="仿宋"/>
          <w:sz w:val="28"/>
          <w:szCs w:val="28"/>
          <w:lang w:val="en-US" w:eastAsia="zh-CN"/>
        </w:rPr>
      </w:pPr>
    </w:p>
    <w:p>
      <w:pPr>
        <w:pStyle w:val="2"/>
        <w:keepNext/>
        <w:keepLines/>
        <w:pageBreakBefore w:val="0"/>
        <w:widowControl w:val="0"/>
        <w:numPr>
          <w:ilvl w:val="0"/>
          <w:numId w:val="1"/>
        </w:numPr>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0"/>
        <w:rPr>
          <w:rFonts w:hint="eastAsia" w:ascii="黑体" w:hAnsi="黑体" w:eastAsia="黑体" w:cs="黑体"/>
          <w:b w:val="0"/>
          <w:bCs/>
          <w:sz w:val="30"/>
          <w:szCs w:val="30"/>
          <w:lang w:val="en-US" w:eastAsia="zh-CN"/>
        </w:rPr>
      </w:pPr>
      <w:bookmarkStart w:id="47" w:name="_Toc5870"/>
      <w:r>
        <w:rPr>
          <w:rFonts w:hint="eastAsia" w:ascii="黑体" w:hAnsi="黑体" w:eastAsia="黑体" w:cs="黑体"/>
          <w:b w:val="0"/>
          <w:bCs/>
          <w:sz w:val="30"/>
          <w:szCs w:val="30"/>
          <w:lang w:val="en-US" w:eastAsia="zh-CN"/>
        </w:rPr>
        <w:t>中地行奖学金</w:t>
      </w:r>
      <w:bookmarkEnd w:id="47"/>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项目号：</w:t>
      </w:r>
      <w:r>
        <w:rPr>
          <w:rFonts w:hint="eastAsia" w:ascii="仿宋" w:hAnsi="仿宋" w:eastAsia="仿宋" w:cs="仿宋"/>
          <w:b w:val="0"/>
          <w:bCs w:val="0"/>
          <w:sz w:val="28"/>
          <w:szCs w:val="28"/>
          <w:lang w:val="en-US" w:eastAsia="zh-CN"/>
        </w:rPr>
        <w:t>02010134</w:t>
      </w:r>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捐赠方：</w:t>
      </w:r>
      <w:r>
        <w:rPr>
          <w:rFonts w:hint="eastAsia" w:ascii="仿宋" w:hAnsi="仿宋" w:eastAsia="仿宋" w:cs="仿宋"/>
          <w:b w:val="0"/>
          <w:bCs w:val="0"/>
          <w:sz w:val="28"/>
          <w:szCs w:val="28"/>
          <w:lang w:val="en-US" w:eastAsia="zh-CN"/>
        </w:rPr>
        <w:t>苏州市中地行信息技术有限公司</w:t>
      </w:r>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评选范围：</w:t>
      </w:r>
      <w:r>
        <w:rPr>
          <w:rFonts w:hint="eastAsia" w:ascii="仿宋" w:hAnsi="仿宋" w:eastAsia="仿宋" w:cs="仿宋"/>
          <w:b w:val="0"/>
          <w:bCs w:val="0"/>
          <w:sz w:val="28"/>
          <w:szCs w:val="28"/>
          <w:lang w:val="en-US" w:eastAsia="zh-CN"/>
        </w:rPr>
        <w:t>北京交通大学计算机与信息技术学院优秀本科生</w:t>
      </w:r>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名额及金额：</w:t>
      </w:r>
      <w:r>
        <w:rPr>
          <w:rFonts w:hint="eastAsia" w:ascii="仿宋" w:hAnsi="仿宋" w:eastAsia="仿宋"/>
          <w:color w:val="auto"/>
          <w:sz w:val="28"/>
          <w:szCs w:val="28"/>
          <w:lang w:val="en-US" w:eastAsia="zh-CN"/>
        </w:rPr>
        <w:t>10人，5,000</w:t>
      </w:r>
      <w:r>
        <w:rPr>
          <w:rFonts w:hint="eastAsia" w:ascii="仿宋" w:hAnsi="仿宋" w:eastAsia="仿宋" w:cs="仿宋"/>
          <w:b w:val="0"/>
          <w:bCs w:val="0"/>
          <w:sz w:val="28"/>
          <w:szCs w:val="28"/>
          <w:lang w:val="en-US" w:eastAsia="zh-CN"/>
        </w:rPr>
        <w:t>元/人˙年</w:t>
      </w:r>
      <w:r>
        <w:rPr>
          <w:rFonts w:hint="eastAsia" w:ascii="仿宋" w:hAnsi="仿宋" w:eastAsia="仿宋"/>
          <w:color w:val="auto"/>
          <w:sz w:val="28"/>
          <w:szCs w:val="28"/>
          <w:lang w:val="en-US" w:eastAsia="zh-CN"/>
        </w:rPr>
        <w:t>，共计50,000元</w:t>
      </w:r>
    </w:p>
    <w:p>
      <w:pPr>
        <w:rPr>
          <w:rFonts w:hint="eastAsia"/>
        </w:rPr>
      </w:pPr>
    </w:p>
    <w:p>
      <w:pPr>
        <w:rPr>
          <w:rFonts w:hint="eastAsia"/>
        </w:rPr>
      </w:pPr>
    </w:p>
    <w:p>
      <w:pPr>
        <w:rPr>
          <w:rFonts w:hint="eastAsia"/>
        </w:rPr>
      </w:pPr>
    </w:p>
    <w:p>
      <w:pPr>
        <w:pStyle w:val="2"/>
        <w:keepNext/>
        <w:keepLines/>
        <w:pageBreakBefore w:val="0"/>
        <w:widowControl w:val="0"/>
        <w:numPr>
          <w:ilvl w:val="0"/>
          <w:numId w:val="1"/>
        </w:numPr>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0"/>
        <w:rPr>
          <w:rFonts w:hint="eastAsia" w:ascii="黑体" w:hAnsi="黑体" w:eastAsia="黑体" w:cs="黑体"/>
          <w:b w:val="0"/>
          <w:bCs/>
          <w:sz w:val="30"/>
          <w:szCs w:val="30"/>
          <w:lang w:val="en-US" w:eastAsia="zh-CN"/>
        </w:rPr>
      </w:pPr>
      <w:bookmarkStart w:id="48" w:name="_Toc29171"/>
      <w:r>
        <w:rPr>
          <w:rFonts w:hint="eastAsia" w:ascii="黑体" w:hAnsi="黑体" w:eastAsia="黑体" w:cs="黑体"/>
          <w:b w:val="0"/>
          <w:bCs/>
          <w:sz w:val="30"/>
          <w:szCs w:val="30"/>
          <w:lang w:val="en-US" w:eastAsia="zh-CN"/>
        </w:rPr>
        <w:t>尖峰奖学金</w:t>
      </w:r>
      <w:bookmarkEnd w:id="48"/>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项目号：</w:t>
      </w:r>
      <w:r>
        <w:rPr>
          <w:rFonts w:hint="eastAsia" w:ascii="仿宋" w:hAnsi="仿宋" w:eastAsia="仿宋" w:cs="仿宋"/>
          <w:b w:val="0"/>
          <w:bCs w:val="0"/>
          <w:sz w:val="28"/>
          <w:szCs w:val="28"/>
          <w:lang w:val="en-US" w:eastAsia="zh-CN"/>
        </w:rPr>
        <w:t>02010006</w:t>
      </w:r>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捐赠方</w:t>
      </w:r>
      <w:r>
        <w:rPr>
          <w:rFonts w:hint="eastAsia" w:ascii="仿宋" w:hAnsi="仿宋" w:eastAsia="仿宋" w:cs="仿宋"/>
          <w:b w:val="0"/>
          <w:bCs w:val="0"/>
          <w:sz w:val="28"/>
          <w:szCs w:val="28"/>
          <w:lang w:val="en-US" w:eastAsia="zh-CN"/>
        </w:rPr>
        <w:t>：北京尖峰计算机系统有限公司</w:t>
      </w:r>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评选范围：</w:t>
      </w:r>
      <w:r>
        <w:rPr>
          <w:rFonts w:hint="eastAsia" w:ascii="仿宋" w:hAnsi="仿宋" w:eastAsia="仿宋" w:cs="仿宋"/>
          <w:b w:val="0"/>
          <w:bCs w:val="0"/>
          <w:sz w:val="28"/>
          <w:szCs w:val="28"/>
          <w:lang w:val="en-US" w:eastAsia="zh-CN"/>
        </w:rPr>
        <w:t>北京交通大学计算机学院学习成绩优秀、综合素质突出的优秀学生</w:t>
      </w:r>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名额及金额：</w:t>
      </w:r>
      <w:r>
        <w:rPr>
          <w:rFonts w:hint="eastAsia" w:ascii="仿宋" w:hAnsi="仿宋" w:eastAsia="仿宋" w:cs="仿宋"/>
          <w:b w:val="0"/>
          <w:bCs w:val="0"/>
          <w:sz w:val="28"/>
          <w:szCs w:val="28"/>
          <w:lang w:val="en-US" w:eastAsia="zh-CN"/>
        </w:rPr>
        <w:t>本科生8人，研究生2人，5000元/人˙年</w:t>
      </w:r>
    </w:p>
    <w:p>
      <w:pPr>
        <w:rPr>
          <w:rFonts w:hint="eastAsia" w:ascii="仿宋" w:hAnsi="仿宋" w:eastAsia="仿宋" w:cs="仿宋"/>
          <w:b w:val="0"/>
          <w:bCs w:val="0"/>
          <w:sz w:val="28"/>
          <w:szCs w:val="28"/>
          <w:lang w:val="en-US" w:eastAsia="zh-CN"/>
        </w:rPr>
      </w:pPr>
    </w:p>
    <w:p>
      <w:pPr>
        <w:rPr>
          <w:rFonts w:hint="eastAsia" w:ascii="仿宋" w:hAnsi="仿宋" w:eastAsia="仿宋" w:cs="仿宋"/>
          <w:b w:val="0"/>
          <w:bCs w:val="0"/>
          <w:sz w:val="28"/>
          <w:szCs w:val="28"/>
          <w:lang w:val="en-US" w:eastAsia="zh-CN"/>
        </w:rPr>
      </w:pPr>
    </w:p>
    <w:p>
      <w:pPr>
        <w:ind w:firstLine="560"/>
        <w:rPr>
          <w:rFonts w:hint="eastAsia" w:ascii="仿宋" w:hAnsi="仿宋" w:eastAsia="仿宋" w:cs="仿宋"/>
          <w:b w:val="0"/>
          <w:bCs w:val="0"/>
          <w:sz w:val="28"/>
          <w:szCs w:val="28"/>
          <w:lang w:val="en-US" w:eastAsia="zh-CN"/>
        </w:rPr>
      </w:pPr>
    </w:p>
    <w:p>
      <w:pPr>
        <w:pStyle w:val="2"/>
        <w:keepNext/>
        <w:keepLines/>
        <w:pageBreakBefore w:val="0"/>
        <w:widowControl w:val="0"/>
        <w:numPr>
          <w:ilvl w:val="0"/>
          <w:numId w:val="1"/>
        </w:numPr>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0"/>
        <w:rPr>
          <w:rFonts w:hint="eastAsia" w:ascii="黑体" w:hAnsi="黑体" w:eastAsia="黑体" w:cs="黑体"/>
          <w:b w:val="0"/>
          <w:bCs/>
          <w:sz w:val="30"/>
          <w:szCs w:val="30"/>
          <w:lang w:val="en-US" w:eastAsia="zh-CN"/>
        </w:rPr>
      </w:pPr>
      <w:bookmarkStart w:id="49" w:name="_Toc24668"/>
      <w:r>
        <w:rPr>
          <w:rFonts w:hint="eastAsia" w:ascii="黑体" w:hAnsi="黑体" w:eastAsia="黑体" w:cs="黑体"/>
          <w:b w:val="0"/>
          <w:bCs/>
          <w:sz w:val="30"/>
          <w:szCs w:val="30"/>
          <w:lang w:val="en-US" w:eastAsia="zh-CN"/>
        </w:rPr>
        <w:t>中岩大地教育基金</w:t>
      </w:r>
      <w:bookmarkEnd w:id="49"/>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default"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项目号：</w:t>
      </w:r>
      <w:r>
        <w:rPr>
          <w:rFonts w:hint="eastAsia" w:ascii="仿宋" w:hAnsi="仿宋" w:eastAsia="仿宋" w:cs="仿宋"/>
          <w:b w:val="0"/>
          <w:bCs w:val="0"/>
          <w:sz w:val="28"/>
          <w:szCs w:val="28"/>
          <w:lang w:val="en-US" w:eastAsia="zh-CN"/>
        </w:rPr>
        <w:t>05010136</w:t>
      </w:r>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捐赠方：</w:t>
      </w:r>
      <w:r>
        <w:rPr>
          <w:rFonts w:hint="eastAsia" w:ascii="仿宋" w:hAnsi="仿宋" w:eastAsia="仿宋" w:cs="仿宋"/>
          <w:b w:val="0"/>
          <w:bCs w:val="0"/>
          <w:sz w:val="28"/>
          <w:szCs w:val="28"/>
          <w:lang w:val="en-US" w:eastAsia="zh-CN"/>
        </w:rPr>
        <w:t>王立建</w:t>
      </w:r>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评选范围：</w:t>
      </w:r>
      <w:r>
        <w:rPr>
          <w:rFonts w:hint="eastAsia" w:ascii="仿宋" w:hAnsi="仿宋" w:eastAsia="仿宋" w:cs="仿宋"/>
          <w:b w:val="0"/>
          <w:bCs w:val="0"/>
          <w:sz w:val="28"/>
          <w:szCs w:val="28"/>
          <w:lang w:val="en-US" w:eastAsia="zh-CN"/>
        </w:rPr>
        <w:t>北京交通大学</w:t>
      </w:r>
      <w:r>
        <w:rPr>
          <w:rFonts w:hint="eastAsia" w:ascii="仿宋" w:hAnsi="仿宋" w:eastAsia="仿宋"/>
          <w:sz w:val="30"/>
          <w:szCs w:val="30"/>
          <w:lang w:eastAsia="zh-CN"/>
        </w:rPr>
        <w:t>土木建筑工程</w:t>
      </w:r>
      <w:r>
        <w:rPr>
          <w:rFonts w:hint="eastAsia" w:ascii="仿宋" w:hAnsi="仿宋" w:eastAsia="仿宋"/>
          <w:sz w:val="30"/>
          <w:szCs w:val="30"/>
        </w:rPr>
        <w:t>学院</w:t>
      </w:r>
      <w:r>
        <w:rPr>
          <w:rFonts w:hint="eastAsia" w:ascii="仿宋" w:hAnsi="仿宋" w:eastAsia="仿宋"/>
          <w:sz w:val="30"/>
          <w:szCs w:val="30"/>
          <w:lang w:eastAsia="zh-CN"/>
        </w:rPr>
        <w:t>在校生</w:t>
      </w:r>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名额及金额：</w:t>
      </w:r>
      <w:r>
        <w:rPr>
          <w:rFonts w:hint="eastAsia" w:ascii="仿宋" w:hAnsi="仿宋" w:eastAsia="仿宋" w:cs="仿宋"/>
          <w:b w:val="0"/>
          <w:bCs w:val="0"/>
          <w:sz w:val="28"/>
          <w:szCs w:val="28"/>
          <w:lang w:val="en-US" w:eastAsia="zh-CN"/>
        </w:rPr>
        <w:t>本科生、研究生各10人</w:t>
      </w:r>
      <w:r>
        <w:rPr>
          <w:rFonts w:hint="eastAsia" w:ascii="仿宋" w:hAnsi="仿宋" w:eastAsia="仿宋" w:cs="仿宋"/>
          <w:b/>
          <w:bCs/>
          <w:sz w:val="28"/>
          <w:szCs w:val="28"/>
          <w:lang w:val="en-US" w:eastAsia="zh-CN"/>
        </w:rPr>
        <w:t>，</w:t>
      </w:r>
      <w:r>
        <w:rPr>
          <w:rFonts w:hint="eastAsia" w:ascii="仿宋" w:hAnsi="仿宋" w:eastAsia="仿宋" w:cs="仿宋"/>
          <w:b w:val="0"/>
          <w:bCs w:val="0"/>
          <w:sz w:val="28"/>
          <w:szCs w:val="28"/>
          <w:lang w:val="en-US" w:eastAsia="zh-CN"/>
        </w:rPr>
        <w:t>5000元/人˙年</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评选原则：</w:t>
      </w:r>
      <w:r>
        <w:rPr>
          <w:rFonts w:hint="eastAsia" w:ascii="仿宋" w:hAnsi="仿宋" w:eastAsia="仿宋" w:cs="仿宋"/>
          <w:b w:val="0"/>
          <w:bCs w:val="0"/>
          <w:sz w:val="28"/>
          <w:szCs w:val="28"/>
          <w:lang w:val="en-US" w:eastAsia="zh-CN"/>
        </w:rPr>
        <w:t>土建学院在读的二年级及以上本科生和硕博研究生。</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b w:val="0"/>
          <w:bCs w:val="0"/>
          <w:sz w:val="28"/>
          <w:szCs w:val="28"/>
          <w:lang w:val="en-US" w:eastAsia="zh-CN"/>
        </w:rPr>
      </w:pPr>
    </w:p>
    <w:p>
      <w:pPr>
        <w:pStyle w:val="2"/>
        <w:keepNext/>
        <w:keepLines/>
        <w:pageBreakBefore w:val="0"/>
        <w:widowControl w:val="0"/>
        <w:numPr>
          <w:ilvl w:val="0"/>
          <w:numId w:val="1"/>
        </w:numPr>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0"/>
        <w:rPr>
          <w:rFonts w:hint="eastAsia" w:ascii="黑体" w:hAnsi="黑体" w:eastAsia="黑体" w:cs="黑体"/>
          <w:b w:val="0"/>
          <w:bCs/>
          <w:sz w:val="30"/>
          <w:szCs w:val="30"/>
          <w:lang w:val="en-US" w:eastAsia="zh-CN"/>
        </w:rPr>
      </w:pPr>
      <w:bookmarkStart w:id="50" w:name="_Toc4970"/>
      <w:r>
        <w:rPr>
          <w:rFonts w:hint="eastAsia" w:ascii="黑体" w:hAnsi="黑体" w:eastAsia="黑体" w:cs="黑体"/>
          <w:b w:val="0"/>
          <w:bCs/>
          <w:sz w:val="30"/>
          <w:szCs w:val="30"/>
          <w:lang w:val="en-US" w:eastAsia="zh-CN"/>
        </w:rPr>
        <w:t>张晓群奖助学金</w:t>
      </w:r>
      <w:bookmarkEnd w:id="50"/>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default"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项目号：</w:t>
      </w:r>
      <w:r>
        <w:rPr>
          <w:rFonts w:hint="eastAsia" w:ascii="仿宋" w:hAnsi="仿宋" w:eastAsia="仿宋" w:cs="仿宋"/>
          <w:b w:val="0"/>
          <w:bCs w:val="0"/>
          <w:sz w:val="28"/>
          <w:szCs w:val="28"/>
          <w:lang w:val="en-US" w:eastAsia="zh-CN"/>
        </w:rPr>
        <w:t>03010137</w:t>
      </w:r>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捐赠方：</w:t>
      </w:r>
      <w:r>
        <w:rPr>
          <w:rFonts w:hint="eastAsia" w:ascii="仿宋" w:hAnsi="仿宋" w:eastAsia="仿宋" w:cs="仿宋"/>
          <w:b w:val="0"/>
          <w:bCs w:val="0"/>
          <w:sz w:val="28"/>
          <w:szCs w:val="28"/>
          <w:lang w:val="en-US" w:eastAsia="zh-CN"/>
        </w:rPr>
        <w:t>张晓群</w:t>
      </w:r>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 w:hAnsi="仿宋" w:eastAsia="仿宋"/>
          <w:szCs w:val="28"/>
        </w:rPr>
      </w:pPr>
      <w:r>
        <w:rPr>
          <w:rFonts w:hint="eastAsia" w:ascii="仿宋" w:hAnsi="仿宋" w:eastAsia="仿宋" w:cs="仿宋"/>
          <w:b/>
          <w:bCs/>
          <w:sz w:val="28"/>
          <w:szCs w:val="28"/>
          <w:lang w:val="en-US" w:eastAsia="zh-CN"/>
        </w:rPr>
        <w:t>评选范围：</w:t>
      </w:r>
      <w:r>
        <w:rPr>
          <w:rFonts w:hint="eastAsia" w:ascii="仿宋" w:hAnsi="仿宋" w:eastAsia="仿宋" w:cs="仿宋"/>
          <w:b w:val="0"/>
          <w:bCs w:val="0"/>
          <w:sz w:val="28"/>
          <w:szCs w:val="28"/>
          <w:lang w:val="en-US" w:eastAsia="zh-CN"/>
        </w:rPr>
        <w:t>北京交通大学经济管理学院优秀本科生</w:t>
      </w:r>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名额及金额：</w:t>
      </w:r>
      <w:r>
        <w:rPr>
          <w:rFonts w:hint="eastAsia" w:ascii="仿宋" w:hAnsi="仿宋" w:eastAsia="仿宋" w:cs="仿宋"/>
          <w:b w:val="0"/>
          <w:bCs w:val="0"/>
          <w:sz w:val="28"/>
          <w:szCs w:val="28"/>
          <w:lang w:val="en-US" w:eastAsia="zh-CN"/>
        </w:rPr>
        <w:t>奖学金10人，5000元/人˙年</w:t>
      </w:r>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 xml:space="preserve">            助学金10人，5000元/人˙年</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黑体" w:hAnsi="黑体" w:eastAsia="黑体" w:cs="黑体"/>
          <w:b w:val="0"/>
          <w:bCs/>
          <w:kern w:val="44"/>
          <w:sz w:val="30"/>
          <w:szCs w:val="30"/>
          <w:lang w:val="en-US" w:eastAsia="zh-CN" w:bidi="ar-SA"/>
        </w:rPr>
      </w:pPr>
    </w:p>
    <w:p>
      <w:pPr>
        <w:pStyle w:val="2"/>
        <w:keepNext/>
        <w:keepLines/>
        <w:pageBreakBefore w:val="0"/>
        <w:widowControl w:val="0"/>
        <w:numPr>
          <w:ilvl w:val="0"/>
          <w:numId w:val="1"/>
        </w:numPr>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0"/>
        <w:rPr>
          <w:rFonts w:hint="eastAsia" w:ascii="黑体" w:hAnsi="黑体" w:eastAsia="黑体" w:cs="黑体"/>
          <w:b w:val="0"/>
          <w:bCs/>
          <w:sz w:val="30"/>
          <w:szCs w:val="30"/>
          <w:lang w:val="en-US" w:eastAsia="zh-CN"/>
        </w:rPr>
      </w:pPr>
      <w:bookmarkStart w:id="51" w:name="_Toc18770"/>
      <w:r>
        <w:rPr>
          <w:rFonts w:hint="eastAsia" w:ascii="黑体" w:hAnsi="黑体" w:eastAsia="黑体" w:cs="黑体"/>
          <w:b w:val="0"/>
          <w:bCs/>
          <w:sz w:val="30"/>
          <w:szCs w:val="30"/>
          <w:lang w:val="en-US" w:eastAsia="zh-CN"/>
        </w:rPr>
        <w:t>春华助学金</w:t>
      </w:r>
      <w:bookmarkEnd w:id="51"/>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default"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项目号：</w:t>
      </w:r>
      <w:r>
        <w:rPr>
          <w:rFonts w:hint="eastAsia" w:ascii="仿宋" w:hAnsi="仿宋" w:eastAsia="仿宋" w:cs="仿宋"/>
          <w:b w:val="0"/>
          <w:bCs w:val="0"/>
          <w:sz w:val="28"/>
          <w:szCs w:val="28"/>
          <w:lang w:val="en-US" w:eastAsia="zh-CN"/>
        </w:rPr>
        <w:t>02010138</w:t>
      </w:r>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捐赠方：</w:t>
      </w:r>
      <w:r>
        <w:rPr>
          <w:rFonts w:hint="eastAsia" w:ascii="仿宋" w:hAnsi="仿宋" w:eastAsia="仿宋" w:cs="仿宋"/>
          <w:b w:val="0"/>
          <w:bCs w:val="0"/>
          <w:sz w:val="28"/>
          <w:szCs w:val="28"/>
          <w:lang w:val="en-US" w:eastAsia="zh-CN"/>
        </w:rPr>
        <w:t>翟曙春</w:t>
      </w:r>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 w:hAnsi="仿宋" w:eastAsia="仿宋"/>
          <w:sz w:val="30"/>
          <w:szCs w:val="30"/>
          <w:lang w:eastAsia="zh-CN"/>
        </w:rPr>
      </w:pPr>
      <w:r>
        <w:rPr>
          <w:rFonts w:hint="eastAsia" w:ascii="仿宋" w:hAnsi="仿宋" w:eastAsia="仿宋" w:cs="仿宋"/>
          <w:b/>
          <w:bCs/>
          <w:sz w:val="28"/>
          <w:szCs w:val="28"/>
          <w:lang w:val="en-US" w:eastAsia="zh-CN"/>
        </w:rPr>
        <w:t>评选范围：</w:t>
      </w:r>
      <w:r>
        <w:rPr>
          <w:rFonts w:hint="eastAsia" w:ascii="仿宋" w:hAnsi="仿宋" w:eastAsia="仿宋" w:cs="仿宋"/>
          <w:b w:val="0"/>
          <w:bCs w:val="0"/>
          <w:sz w:val="28"/>
          <w:szCs w:val="28"/>
          <w:lang w:val="en-US" w:eastAsia="zh-CN"/>
        </w:rPr>
        <w:t>北京交通大学</w:t>
      </w:r>
      <w:r>
        <w:rPr>
          <w:rFonts w:hint="eastAsia" w:ascii="仿宋" w:hAnsi="仿宋" w:eastAsia="仿宋"/>
          <w:sz w:val="30"/>
          <w:szCs w:val="30"/>
          <w:lang w:eastAsia="zh-CN"/>
        </w:rPr>
        <w:t>计算机信息与技术学院的家庭经济困难本科生</w:t>
      </w:r>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名额及金额：</w:t>
      </w:r>
      <w:r>
        <w:rPr>
          <w:rFonts w:hint="eastAsia" w:ascii="仿宋" w:hAnsi="仿宋" w:eastAsia="仿宋" w:cs="仿宋"/>
          <w:b w:val="0"/>
          <w:bCs w:val="0"/>
          <w:sz w:val="28"/>
          <w:szCs w:val="28"/>
          <w:lang w:val="en-US" w:eastAsia="zh-CN"/>
        </w:rPr>
        <w:t>10人，3000元/人˙年</w:t>
      </w:r>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 w:hAnsi="仿宋" w:eastAsia="仿宋" w:cs="仿宋"/>
          <w:b w:val="0"/>
          <w:bCs w:val="0"/>
          <w:sz w:val="28"/>
          <w:szCs w:val="28"/>
          <w:lang w:val="en-US" w:eastAsia="zh-CN"/>
        </w:rPr>
      </w:pPr>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 w:hAnsi="仿宋" w:eastAsia="仿宋" w:cs="仿宋"/>
          <w:b w:val="0"/>
          <w:bCs w:val="0"/>
          <w:sz w:val="28"/>
          <w:szCs w:val="28"/>
          <w:lang w:val="en-US" w:eastAsia="zh-CN"/>
        </w:rPr>
      </w:pPr>
    </w:p>
    <w:p>
      <w:pPr>
        <w:pStyle w:val="2"/>
        <w:keepNext/>
        <w:keepLines/>
        <w:pageBreakBefore w:val="0"/>
        <w:widowControl w:val="0"/>
        <w:numPr>
          <w:ilvl w:val="0"/>
          <w:numId w:val="1"/>
        </w:numPr>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0"/>
        <w:rPr>
          <w:rFonts w:hint="eastAsia" w:ascii="黑体" w:hAnsi="黑体" w:eastAsia="黑体" w:cs="黑体"/>
          <w:b w:val="0"/>
          <w:bCs/>
          <w:sz w:val="30"/>
          <w:szCs w:val="30"/>
          <w:lang w:val="en-US" w:eastAsia="zh-CN"/>
        </w:rPr>
      </w:pPr>
      <w:bookmarkStart w:id="52" w:name="_Toc7313"/>
      <w:r>
        <w:rPr>
          <w:rFonts w:hint="eastAsia" w:ascii="黑体" w:hAnsi="黑体" w:eastAsia="黑体" w:cs="黑体"/>
          <w:b w:val="0"/>
          <w:bCs/>
          <w:sz w:val="30"/>
          <w:szCs w:val="30"/>
          <w:lang w:val="en-US" w:eastAsia="zh-CN"/>
        </w:rPr>
        <w:t>南加州校友会助学金</w:t>
      </w:r>
      <w:bookmarkEnd w:id="52"/>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default"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项目号：</w:t>
      </w:r>
      <w:r>
        <w:rPr>
          <w:rFonts w:hint="eastAsia" w:ascii="仿宋" w:hAnsi="仿宋" w:eastAsia="仿宋" w:cs="仿宋"/>
          <w:b w:val="0"/>
          <w:bCs w:val="0"/>
          <w:sz w:val="28"/>
          <w:szCs w:val="28"/>
          <w:lang w:val="en-US" w:eastAsia="zh-CN"/>
        </w:rPr>
        <w:t>99010105</w:t>
      </w:r>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捐赠方：</w:t>
      </w:r>
      <w:r>
        <w:rPr>
          <w:rFonts w:hint="eastAsia" w:ascii="仿宋" w:hAnsi="仿宋" w:eastAsia="仿宋" w:cs="仿宋"/>
          <w:b w:val="0"/>
          <w:bCs w:val="0"/>
          <w:sz w:val="28"/>
          <w:szCs w:val="28"/>
          <w:lang w:val="en-US" w:eastAsia="zh-CN"/>
        </w:rPr>
        <w:t>南加州校友会</w:t>
      </w:r>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 w:hAnsi="仿宋" w:eastAsia="仿宋"/>
          <w:sz w:val="30"/>
          <w:szCs w:val="30"/>
          <w:lang w:eastAsia="zh-CN"/>
        </w:rPr>
      </w:pPr>
      <w:r>
        <w:rPr>
          <w:rFonts w:hint="eastAsia" w:ascii="仿宋" w:hAnsi="仿宋" w:eastAsia="仿宋" w:cs="仿宋"/>
          <w:b/>
          <w:bCs/>
          <w:sz w:val="28"/>
          <w:szCs w:val="28"/>
          <w:lang w:val="en-US" w:eastAsia="zh-CN"/>
        </w:rPr>
        <w:t>评选范围：</w:t>
      </w:r>
      <w:r>
        <w:rPr>
          <w:rFonts w:hint="eastAsia" w:ascii="仿宋" w:hAnsi="仿宋" w:eastAsia="仿宋" w:cs="仿宋"/>
          <w:b w:val="0"/>
          <w:bCs w:val="0"/>
          <w:sz w:val="28"/>
          <w:szCs w:val="28"/>
          <w:lang w:val="en-US" w:eastAsia="zh-CN"/>
        </w:rPr>
        <w:t>北京交通大学</w:t>
      </w:r>
      <w:r>
        <w:rPr>
          <w:rFonts w:hint="eastAsia" w:ascii="仿宋" w:hAnsi="仿宋" w:eastAsia="仿宋"/>
          <w:sz w:val="30"/>
          <w:szCs w:val="30"/>
          <w:lang w:eastAsia="zh-CN"/>
        </w:rPr>
        <w:t>家庭经济困难本科生</w:t>
      </w:r>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名额及金额：1</w:t>
      </w:r>
      <w:r>
        <w:rPr>
          <w:rFonts w:hint="eastAsia" w:ascii="仿宋" w:hAnsi="仿宋" w:eastAsia="仿宋" w:cs="仿宋"/>
          <w:b w:val="0"/>
          <w:bCs w:val="0"/>
          <w:sz w:val="28"/>
          <w:szCs w:val="28"/>
          <w:lang w:val="en-US" w:eastAsia="zh-CN"/>
        </w:rPr>
        <w:t>人，6000元/人˙年</w:t>
      </w:r>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lang w:val="en-US" w:eastAsia="zh-CN"/>
        </w:rPr>
      </w:pPr>
      <w:r>
        <w:rPr>
          <w:rFonts w:hint="eastAsia" w:ascii="仿宋" w:hAnsi="仿宋" w:eastAsia="仿宋" w:cs="仿宋"/>
          <w:b/>
          <w:bCs/>
          <w:sz w:val="28"/>
          <w:szCs w:val="28"/>
          <w:lang w:val="en-US" w:eastAsia="zh-CN"/>
        </w:rPr>
        <w:t>评选原则：</w:t>
      </w:r>
      <w:r>
        <w:rPr>
          <w:rFonts w:hint="eastAsia" w:ascii="仿宋" w:hAnsi="仿宋" w:eastAsia="仿宋" w:cs="仿宋"/>
          <w:b w:val="0"/>
          <w:bCs w:val="0"/>
          <w:sz w:val="28"/>
          <w:szCs w:val="28"/>
          <w:lang w:val="en-US" w:eastAsia="zh-CN"/>
        </w:rPr>
        <w:t>本科大一新生，连续资助至毕业。</w:t>
      </w:r>
      <w:bookmarkStart w:id="53" w:name="_GoBack"/>
      <w:bookmarkEnd w:id="53"/>
    </w:p>
    <w:sectPr>
      <w:footerReference r:id="rId3" w:type="default"/>
      <w:pgSz w:w="11906" w:h="16838"/>
      <w:pgMar w:top="1440" w:right="1800" w:bottom="1440" w:left="1800" w:header="851" w:footer="99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00000" w:csb1="00000000"/>
  </w:font>
  <w:font w:name="Microsoft Himalaya">
    <w:panose1 w:val="01010100010101010101"/>
    <w:charset w:val="00"/>
    <w:family w:val="auto"/>
    <w:pitch w:val="default"/>
    <w:sig w:usb0="80000003" w:usb1="00010000" w:usb2="0000004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EAE8F1"/>
    <w:multiLevelType w:val="singleLevel"/>
    <w:tmpl w:val="81EAE8F1"/>
    <w:lvl w:ilvl="0" w:tentative="0">
      <w:start w:val="1"/>
      <w:numFmt w:val="decimal"/>
      <w:lvlText w:val="%1."/>
      <w:lvlJc w:val="left"/>
      <w:pPr>
        <w:ind w:left="425" w:hanging="425"/>
      </w:pPr>
      <w:rPr>
        <w:rFonts w:hint="default"/>
      </w:rPr>
    </w:lvl>
  </w:abstractNum>
  <w:abstractNum w:abstractNumId="1">
    <w:nsid w:val="8487C018"/>
    <w:multiLevelType w:val="singleLevel"/>
    <w:tmpl w:val="8487C018"/>
    <w:lvl w:ilvl="0" w:tentative="0">
      <w:start w:val="1"/>
      <w:numFmt w:val="decimal"/>
      <w:lvlText w:val="%1."/>
      <w:lvlJc w:val="left"/>
      <w:pPr>
        <w:ind w:left="425" w:hanging="425"/>
      </w:pPr>
      <w:rPr>
        <w:rFonts w:hint="default"/>
      </w:rPr>
    </w:lvl>
  </w:abstractNum>
  <w:abstractNum w:abstractNumId="2">
    <w:nsid w:val="88CCA2AC"/>
    <w:multiLevelType w:val="singleLevel"/>
    <w:tmpl w:val="88CCA2AC"/>
    <w:lvl w:ilvl="0" w:tentative="0">
      <w:start w:val="1"/>
      <w:numFmt w:val="decimal"/>
      <w:lvlText w:val="%1."/>
      <w:lvlJc w:val="left"/>
      <w:pPr>
        <w:ind w:left="425" w:hanging="425"/>
      </w:pPr>
      <w:rPr>
        <w:rFonts w:hint="default"/>
      </w:rPr>
    </w:lvl>
  </w:abstractNum>
  <w:abstractNum w:abstractNumId="3">
    <w:nsid w:val="895BC950"/>
    <w:multiLevelType w:val="singleLevel"/>
    <w:tmpl w:val="895BC950"/>
    <w:lvl w:ilvl="0" w:tentative="0">
      <w:start w:val="1"/>
      <w:numFmt w:val="decimal"/>
      <w:lvlText w:val="(%1)"/>
      <w:lvlJc w:val="left"/>
      <w:pPr>
        <w:ind w:left="425" w:hanging="425"/>
      </w:pPr>
      <w:rPr>
        <w:rFonts w:hint="default"/>
      </w:rPr>
    </w:lvl>
  </w:abstractNum>
  <w:abstractNum w:abstractNumId="4">
    <w:nsid w:val="8A58E9A1"/>
    <w:multiLevelType w:val="singleLevel"/>
    <w:tmpl w:val="8A58E9A1"/>
    <w:lvl w:ilvl="0" w:tentative="0">
      <w:start w:val="1"/>
      <w:numFmt w:val="decimal"/>
      <w:lvlText w:val="%1."/>
      <w:lvlJc w:val="left"/>
      <w:pPr>
        <w:ind w:left="425" w:hanging="425"/>
      </w:pPr>
      <w:rPr>
        <w:rFonts w:hint="default"/>
      </w:rPr>
    </w:lvl>
  </w:abstractNum>
  <w:abstractNum w:abstractNumId="5">
    <w:nsid w:val="8C8E9648"/>
    <w:multiLevelType w:val="singleLevel"/>
    <w:tmpl w:val="8C8E9648"/>
    <w:lvl w:ilvl="0" w:tentative="0">
      <w:start w:val="1"/>
      <w:numFmt w:val="decimal"/>
      <w:lvlText w:val="%1."/>
      <w:lvlJc w:val="left"/>
      <w:pPr>
        <w:ind w:left="425" w:hanging="425"/>
      </w:pPr>
      <w:rPr>
        <w:rFonts w:hint="default"/>
      </w:rPr>
    </w:lvl>
  </w:abstractNum>
  <w:abstractNum w:abstractNumId="6">
    <w:nsid w:val="8E0113D9"/>
    <w:multiLevelType w:val="singleLevel"/>
    <w:tmpl w:val="8E0113D9"/>
    <w:lvl w:ilvl="0" w:tentative="0">
      <w:start w:val="1"/>
      <w:numFmt w:val="decimal"/>
      <w:lvlText w:val="%1."/>
      <w:lvlJc w:val="left"/>
      <w:pPr>
        <w:ind w:left="425" w:hanging="425"/>
      </w:pPr>
      <w:rPr>
        <w:rFonts w:hint="default"/>
      </w:rPr>
    </w:lvl>
  </w:abstractNum>
  <w:abstractNum w:abstractNumId="7">
    <w:nsid w:val="901E3A47"/>
    <w:multiLevelType w:val="singleLevel"/>
    <w:tmpl w:val="901E3A47"/>
    <w:lvl w:ilvl="0" w:tentative="0">
      <w:start w:val="1"/>
      <w:numFmt w:val="decimal"/>
      <w:lvlText w:val="%1."/>
      <w:lvlJc w:val="left"/>
      <w:pPr>
        <w:ind w:left="425" w:hanging="425"/>
      </w:pPr>
      <w:rPr>
        <w:rFonts w:hint="default"/>
      </w:rPr>
    </w:lvl>
  </w:abstractNum>
  <w:abstractNum w:abstractNumId="8">
    <w:nsid w:val="95597E0C"/>
    <w:multiLevelType w:val="singleLevel"/>
    <w:tmpl w:val="95597E0C"/>
    <w:lvl w:ilvl="0" w:tentative="0">
      <w:start w:val="1"/>
      <w:numFmt w:val="decimal"/>
      <w:lvlText w:val="%1."/>
      <w:lvlJc w:val="left"/>
      <w:pPr>
        <w:ind w:left="425" w:hanging="425"/>
      </w:pPr>
      <w:rPr>
        <w:rFonts w:hint="default"/>
      </w:rPr>
    </w:lvl>
  </w:abstractNum>
  <w:abstractNum w:abstractNumId="9">
    <w:nsid w:val="96B588E5"/>
    <w:multiLevelType w:val="singleLevel"/>
    <w:tmpl w:val="96B588E5"/>
    <w:lvl w:ilvl="0" w:tentative="0">
      <w:start w:val="1"/>
      <w:numFmt w:val="decimal"/>
      <w:lvlText w:val="%1."/>
      <w:lvlJc w:val="left"/>
      <w:pPr>
        <w:ind w:left="425" w:hanging="425"/>
      </w:pPr>
      <w:rPr>
        <w:rFonts w:hint="default"/>
      </w:rPr>
    </w:lvl>
  </w:abstractNum>
  <w:abstractNum w:abstractNumId="10">
    <w:nsid w:val="9E376C9A"/>
    <w:multiLevelType w:val="singleLevel"/>
    <w:tmpl w:val="9E376C9A"/>
    <w:lvl w:ilvl="0" w:tentative="0">
      <w:start w:val="1"/>
      <w:numFmt w:val="decimal"/>
      <w:lvlText w:val="%1."/>
      <w:lvlJc w:val="left"/>
      <w:pPr>
        <w:ind w:left="425" w:hanging="425"/>
      </w:pPr>
      <w:rPr>
        <w:rFonts w:hint="default"/>
      </w:rPr>
    </w:lvl>
  </w:abstractNum>
  <w:abstractNum w:abstractNumId="11">
    <w:nsid w:val="9E3D9925"/>
    <w:multiLevelType w:val="singleLevel"/>
    <w:tmpl w:val="9E3D9925"/>
    <w:lvl w:ilvl="0" w:tentative="0">
      <w:start w:val="1"/>
      <w:numFmt w:val="decimal"/>
      <w:lvlText w:val="%1."/>
      <w:lvlJc w:val="left"/>
      <w:pPr>
        <w:ind w:left="425" w:hanging="425"/>
      </w:pPr>
      <w:rPr>
        <w:rFonts w:hint="default"/>
      </w:rPr>
    </w:lvl>
  </w:abstractNum>
  <w:abstractNum w:abstractNumId="12">
    <w:nsid w:val="A033D08D"/>
    <w:multiLevelType w:val="singleLevel"/>
    <w:tmpl w:val="A033D08D"/>
    <w:lvl w:ilvl="0" w:tentative="0">
      <w:start w:val="1"/>
      <w:numFmt w:val="decimal"/>
      <w:lvlText w:val="%1."/>
      <w:lvlJc w:val="left"/>
      <w:pPr>
        <w:ind w:left="425" w:hanging="425"/>
      </w:pPr>
      <w:rPr>
        <w:rFonts w:hint="default"/>
      </w:rPr>
    </w:lvl>
  </w:abstractNum>
  <w:abstractNum w:abstractNumId="13">
    <w:nsid w:val="A152D54F"/>
    <w:multiLevelType w:val="singleLevel"/>
    <w:tmpl w:val="A152D54F"/>
    <w:lvl w:ilvl="0" w:tentative="0">
      <w:start w:val="1"/>
      <w:numFmt w:val="decimal"/>
      <w:lvlText w:val="%1."/>
      <w:lvlJc w:val="left"/>
      <w:pPr>
        <w:ind w:left="425" w:hanging="425"/>
      </w:pPr>
      <w:rPr>
        <w:rFonts w:hint="default"/>
      </w:rPr>
    </w:lvl>
  </w:abstractNum>
  <w:abstractNum w:abstractNumId="14">
    <w:nsid w:val="A7443DF8"/>
    <w:multiLevelType w:val="singleLevel"/>
    <w:tmpl w:val="A7443DF8"/>
    <w:lvl w:ilvl="0" w:tentative="0">
      <w:start w:val="1"/>
      <w:numFmt w:val="decimal"/>
      <w:lvlText w:val="%1."/>
      <w:lvlJc w:val="left"/>
      <w:pPr>
        <w:ind w:left="425" w:hanging="425"/>
      </w:pPr>
      <w:rPr>
        <w:rFonts w:hint="default"/>
      </w:rPr>
    </w:lvl>
  </w:abstractNum>
  <w:abstractNum w:abstractNumId="15">
    <w:nsid w:val="AC06F9CB"/>
    <w:multiLevelType w:val="singleLevel"/>
    <w:tmpl w:val="AC06F9CB"/>
    <w:lvl w:ilvl="0" w:tentative="0">
      <w:start w:val="1"/>
      <w:numFmt w:val="decimal"/>
      <w:lvlText w:val="%1."/>
      <w:lvlJc w:val="left"/>
      <w:pPr>
        <w:ind w:left="425" w:hanging="425"/>
      </w:pPr>
      <w:rPr>
        <w:rFonts w:hint="default"/>
      </w:rPr>
    </w:lvl>
  </w:abstractNum>
  <w:abstractNum w:abstractNumId="16">
    <w:nsid w:val="B4773552"/>
    <w:multiLevelType w:val="singleLevel"/>
    <w:tmpl w:val="B4773552"/>
    <w:lvl w:ilvl="0" w:tentative="0">
      <w:start w:val="1"/>
      <w:numFmt w:val="decimal"/>
      <w:lvlText w:val="%1."/>
      <w:lvlJc w:val="left"/>
      <w:pPr>
        <w:ind w:left="425" w:hanging="425"/>
      </w:pPr>
      <w:rPr>
        <w:rFonts w:hint="default"/>
      </w:rPr>
    </w:lvl>
  </w:abstractNum>
  <w:abstractNum w:abstractNumId="17">
    <w:nsid w:val="B5FDCBCB"/>
    <w:multiLevelType w:val="singleLevel"/>
    <w:tmpl w:val="B5FDCBCB"/>
    <w:lvl w:ilvl="0" w:tentative="0">
      <w:start w:val="1"/>
      <w:numFmt w:val="decimal"/>
      <w:lvlText w:val="%1."/>
      <w:lvlJc w:val="left"/>
      <w:pPr>
        <w:ind w:left="425" w:hanging="425"/>
      </w:pPr>
      <w:rPr>
        <w:rFonts w:hint="default"/>
      </w:rPr>
    </w:lvl>
  </w:abstractNum>
  <w:abstractNum w:abstractNumId="18">
    <w:nsid w:val="BFD6F981"/>
    <w:multiLevelType w:val="singleLevel"/>
    <w:tmpl w:val="BFD6F981"/>
    <w:lvl w:ilvl="0" w:tentative="0">
      <w:start w:val="1"/>
      <w:numFmt w:val="decimal"/>
      <w:lvlText w:val="%1."/>
      <w:lvlJc w:val="left"/>
      <w:pPr>
        <w:ind w:left="425" w:hanging="425"/>
      </w:pPr>
      <w:rPr>
        <w:rFonts w:hint="default"/>
      </w:rPr>
    </w:lvl>
  </w:abstractNum>
  <w:abstractNum w:abstractNumId="19">
    <w:nsid w:val="C02E1006"/>
    <w:multiLevelType w:val="singleLevel"/>
    <w:tmpl w:val="C02E1006"/>
    <w:lvl w:ilvl="0" w:tentative="0">
      <w:start w:val="1"/>
      <w:numFmt w:val="decimal"/>
      <w:lvlText w:val="%1."/>
      <w:lvlJc w:val="left"/>
      <w:pPr>
        <w:ind w:left="425" w:hanging="425"/>
      </w:pPr>
      <w:rPr>
        <w:rFonts w:hint="default"/>
      </w:rPr>
    </w:lvl>
  </w:abstractNum>
  <w:abstractNum w:abstractNumId="20">
    <w:nsid w:val="C2B8BBBE"/>
    <w:multiLevelType w:val="singleLevel"/>
    <w:tmpl w:val="C2B8BBBE"/>
    <w:lvl w:ilvl="0" w:tentative="0">
      <w:start w:val="1"/>
      <w:numFmt w:val="decimal"/>
      <w:lvlText w:val="%1."/>
      <w:lvlJc w:val="left"/>
      <w:pPr>
        <w:ind w:left="425" w:hanging="425"/>
      </w:pPr>
      <w:rPr>
        <w:rFonts w:hint="default"/>
      </w:rPr>
    </w:lvl>
  </w:abstractNum>
  <w:abstractNum w:abstractNumId="21">
    <w:nsid w:val="C365B994"/>
    <w:multiLevelType w:val="singleLevel"/>
    <w:tmpl w:val="C365B994"/>
    <w:lvl w:ilvl="0" w:tentative="0">
      <w:start w:val="1"/>
      <w:numFmt w:val="decimal"/>
      <w:lvlText w:val="%1."/>
      <w:lvlJc w:val="left"/>
      <w:pPr>
        <w:ind w:left="425" w:hanging="425"/>
      </w:pPr>
      <w:rPr>
        <w:rFonts w:hint="default"/>
      </w:rPr>
    </w:lvl>
  </w:abstractNum>
  <w:abstractNum w:abstractNumId="22">
    <w:nsid w:val="C3F9C0AF"/>
    <w:multiLevelType w:val="singleLevel"/>
    <w:tmpl w:val="C3F9C0AF"/>
    <w:lvl w:ilvl="0" w:tentative="0">
      <w:start w:val="1"/>
      <w:numFmt w:val="decimal"/>
      <w:lvlText w:val="%1."/>
      <w:lvlJc w:val="left"/>
      <w:pPr>
        <w:ind w:left="425" w:hanging="425"/>
      </w:pPr>
      <w:rPr>
        <w:rFonts w:hint="default"/>
      </w:rPr>
    </w:lvl>
  </w:abstractNum>
  <w:abstractNum w:abstractNumId="23">
    <w:nsid w:val="C41A9452"/>
    <w:multiLevelType w:val="singleLevel"/>
    <w:tmpl w:val="C41A9452"/>
    <w:lvl w:ilvl="0" w:tentative="0">
      <w:start w:val="1"/>
      <w:numFmt w:val="decimal"/>
      <w:lvlText w:val="%1."/>
      <w:lvlJc w:val="left"/>
      <w:pPr>
        <w:ind w:left="425" w:hanging="425"/>
      </w:pPr>
      <w:rPr>
        <w:rFonts w:hint="default"/>
      </w:rPr>
    </w:lvl>
  </w:abstractNum>
  <w:abstractNum w:abstractNumId="24">
    <w:nsid w:val="C866C4B4"/>
    <w:multiLevelType w:val="singleLevel"/>
    <w:tmpl w:val="C866C4B4"/>
    <w:lvl w:ilvl="0" w:tentative="0">
      <w:start w:val="1"/>
      <w:numFmt w:val="decimal"/>
      <w:lvlText w:val="%1."/>
      <w:lvlJc w:val="left"/>
      <w:pPr>
        <w:ind w:left="425" w:hanging="425"/>
      </w:pPr>
      <w:rPr>
        <w:rFonts w:hint="default"/>
      </w:rPr>
    </w:lvl>
  </w:abstractNum>
  <w:abstractNum w:abstractNumId="25">
    <w:nsid w:val="CCC4D5A6"/>
    <w:multiLevelType w:val="singleLevel"/>
    <w:tmpl w:val="CCC4D5A6"/>
    <w:lvl w:ilvl="0" w:tentative="0">
      <w:start w:val="1"/>
      <w:numFmt w:val="decimal"/>
      <w:lvlText w:val="%1."/>
      <w:lvlJc w:val="left"/>
      <w:pPr>
        <w:ind w:left="425" w:hanging="425"/>
      </w:pPr>
      <w:rPr>
        <w:rFonts w:hint="default"/>
      </w:rPr>
    </w:lvl>
  </w:abstractNum>
  <w:abstractNum w:abstractNumId="26">
    <w:nsid w:val="D5ADC28C"/>
    <w:multiLevelType w:val="singleLevel"/>
    <w:tmpl w:val="D5ADC28C"/>
    <w:lvl w:ilvl="0" w:tentative="0">
      <w:start w:val="1"/>
      <w:numFmt w:val="decimal"/>
      <w:lvlText w:val="%1."/>
      <w:lvlJc w:val="left"/>
      <w:pPr>
        <w:ind w:left="425" w:hanging="425"/>
      </w:pPr>
      <w:rPr>
        <w:rFonts w:hint="default"/>
      </w:rPr>
    </w:lvl>
  </w:abstractNum>
  <w:abstractNum w:abstractNumId="27">
    <w:nsid w:val="D6706ED8"/>
    <w:multiLevelType w:val="singleLevel"/>
    <w:tmpl w:val="D6706ED8"/>
    <w:lvl w:ilvl="0" w:tentative="0">
      <w:start w:val="1"/>
      <w:numFmt w:val="decimal"/>
      <w:lvlText w:val="%1."/>
      <w:lvlJc w:val="left"/>
      <w:pPr>
        <w:ind w:left="425" w:hanging="425"/>
      </w:pPr>
      <w:rPr>
        <w:rFonts w:hint="default"/>
      </w:rPr>
    </w:lvl>
  </w:abstractNum>
  <w:abstractNum w:abstractNumId="28">
    <w:nsid w:val="DAE86FC9"/>
    <w:multiLevelType w:val="singleLevel"/>
    <w:tmpl w:val="DAE86FC9"/>
    <w:lvl w:ilvl="0" w:tentative="0">
      <w:start w:val="1"/>
      <w:numFmt w:val="decimal"/>
      <w:lvlText w:val="%1."/>
      <w:lvlJc w:val="left"/>
      <w:pPr>
        <w:ind w:left="425" w:hanging="425"/>
      </w:pPr>
      <w:rPr>
        <w:rFonts w:hint="default"/>
      </w:rPr>
    </w:lvl>
  </w:abstractNum>
  <w:abstractNum w:abstractNumId="29">
    <w:nsid w:val="DB533F00"/>
    <w:multiLevelType w:val="singleLevel"/>
    <w:tmpl w:val="DB533F00"/>
    <w:lvl w:ilvl="0" w:tentative="0">
      <w:start w:val="1"/>
      <w:numFmt w:val="decimal"/>
      <w:lvlText w:val="%1."/>
      <w:lvlJc w:val="left"/>
      <w:pPr>
        <w:ind w:left="425" w:hanging="425"/>
      </w:pPr>
      <w:rPr>
        <w:rFonts w:hint="default"/>
      </w:rPr>
    </w:lvl>
  </w:abstractNum>
  <w:abstractNum w:abstractNumId="30">
    <w:nsid w:val="DC7566D8"/>
    <w:multiLevelType w:val="singleLevel"/>
    <w:tmpl w:val="DC7566D8"/>
    <w:lvl w:ilvl="0" w:tentative="0">
      <w:start w:val="1"/>
      <w:numFmt w:val="decimal"/>
      <w:lvlText w:val="(%1)"/>
      <w:lvlJc w:val="left"/>
      <w:pPr>
        <w:ind w:left="425" w:hanging="425"/>
      </w:pPr>
      <w:rPr>
        <w:rFonts w:hint="default"/>
      </w:rPr>
    </w:lvl>
  </w:abstractNum>
  <w:abstractNum w:abstractNumId="31">
    <w:nsid w:val="DE82897D"/>
    <w:multiLevelType w:val="singleLevel"/>
    <w:tmpl w:val="DE82897D"/>
    <w:lvl w:ilvl="0" w:tentative="0">
      <w:start w:val="1"/>
      <w:numFmt w:val="decimal"/>
      <w:lvlText w:val="%1."/>
      <w:lvlJc w:val="left"/>
      <w:pPr>
        <w:ind w:left="425" w:hanging="425"/>
      </w:pPr>
      <w:rPr>
        <w:rFonts w:hint="default"/>
      </w:rPr>
    </w:lvl>
  </w:abstractNum>
  <w:abstractNum w:abstractNumId="32">
    <w:nsid w:val="E0A4D7A9"/>
    <w:multiLevelType w:val="singleLevel"/>
    <w:tmpl w:val="E0A4D7A9"/>
    <w:lvl w:ilvl="0" w:tentative="0">
      <w:start w:val="1"/>
      <w:numFmt w:val="decimal"/>
      <w:lvlText w:val="%1."/>
      <w:lvlJc w:val="left"/>
      <w:pPr>
        <w:ind w:left="425" w:hanging="425"/>
      </w:pPr>
      <w:rPr>
        <w:rFonts w:hint="default"/>
      </w:rPr>
    </w:lvl>
  </w:abstractNum>
  <w:abstractNum w:abstractNumId="33">
    <w:nsid w:val="E0E46FA7"/>
    <w:multiLevelType w:val="singleLevel"/>
    <w:tmpl w:val="E0E46FA7"/>
    <w:lvl w:ilvl="0" w:tentative="0">
      <w:start w:val="1"/>
      <w:numFmt w:val="decimal"/>
      <w:lvlText w:val="%1."/>
      <w:lvlJc w:val="left"/>
      <w:pPr>
        <w:ind w:left="425" w:hanging="425"/>
      </w:pPr>
      <w:rPr>
        <w:rFonts w:hint="default"/>
      </w:rPr>
    </w:lvl>
  </w:abstractNum>
  <w:abstractNum w:abstractNumId="34">
    <w:nsid w:val="E10A942D"/>
    <w:multiLevelType w:val="singleLevel"/>
    <w:tmpl w:val="E10A942D"/>
    <w:lvl w:ilvl="0" w:tentative="0">
      <w:start w:val="1"/>
      <w:numFmt w:val="decimal"/>
      <w:lvlText w:val="%1."/>
      <w:lvlJc w:val="left"/>
      <w:pPr>
        <w:ind w:left="425" w:hanging="425"/>
      </w:pPr>
      <w:rPr>
        <w:rFonts w:hint="default"/>
      </w:rPr>
    </w:lvl>
  </w:abstractNum>
  <w:abstractNum w:abstractNumId="35">
    <w:nsid w:val="E31E46E3"/>
    <w:multiLevelType w:val="singleLevel"/>
    <w:tmpl w:val="E31E46E3"/>
    <w:lvl w:ilvl="0" w:tentative="0">
      <w:start w:val="1"/>
      <w:numFmt w:val="decimal"/>
      <w:lvlText w:val="%1."/>
      <w:lvlJc w:val="left"/>
      <w:pPr>
        <w:ind w:left="425" w:hanging="425"/>
      </w:pPr>
      <w:rPr>
        <w:rFonts w:hint="default"/>
      </w:rPr>
    </w:lvl>
  </w:abstractNum>
  <w:abstractNum w:abstractNumId="36">
    <w:nsid w:val="E59A90DD"/>
    <w:multiLevelType w:val="singleLevel"/>
    <w:tmpl w:val="E59A90DD"/>
    <w:lvl w:ilvl="0" w:tentative="0">
      <w:start w:val="1"/>
      <w:numFmt w:val="decimal"/>
      <w:lvlText w:val="%1."/>
      <w:lvlJc w:val="left"/>
      <w:pPr>
        <w:ind w:left="425" w:hanging="425"/>
      </w:pPr>
      <w:rPr>
        <w:rFonts w:hint="default"/>
      </w:rPr>
    </w:lvl>
  </w:abstractNum>
  <w:abstractNum w:abstractNumId="37">
    <w:nsid w:val="EF67F78C"/>
    <w:multiLevelType w:val="singleLevel"/>
    <w:tmpl w:val="EF67F78C"/>
    <w:lvl w:ilvl="0" w:tentative="0">
      <w:start w:val="1"/>
      <w:numFmt w:val="decimal"/>
      <w:lvlText w:val="(%1)"/>
      <w:lvlJc w:val="left"/>
      <w:pPr>
        <w:ind w:left="425" w:hanging="425"/>
      </w:pPr>
      <w:rPr>
        <w:rFonts w:hint="default"/>
      </w:rPr>
    </w:lvl>
  </w:abstractNum>
  <w:abstractNum w:abstractNumId="38">
    <w:nsid w:val="F27C765F"/>
    <w:multiLevelType w:val="singleLevel"/>
    <w:tmpl w:val="F27C765F"/>
    <w:lvl w:ilvl="0" w:tentative="0">
      <w:start w:val="1"/>
      <w:numFmt w:val="decimal"/>
      <w:lvlText w:val="(%1)"/>
      <w:lvlJc w:val="left"/>
      <w:pPr>
        <w:ind w:left="425" w:hanging="425"/>
      </w:pPr>
      <w:rPr>
        <w:rFonts w:hint="default"/>
      </w:rPr>
    </w:lvl>
  </w:abstractNum>
  <w:abstractNum w:abstractNumId="39">
    <w:nsid w:val="F296CBFB"/>
    <w:multiLevelType w:val="singleLevel"/>
    <w:tmpl w:val="F296CBFB"/>
    <w:lvl w:ilvl="0" w:tentative="0">
      <w:start w:val="1"/>
      <w:numFmt w:val="decimal"/>
      <w:lvlText w:val="%1."/>
      <w:lvlJc w:val="left"/>
      <w:pPr>
        <w:ind w:left="425" w:hanging="425"/>
      </w:pPr>
      <w:rPr>
        <w:rFonts w:hint="default"/>
      </w:rPr>
    </w:lvl>
  </w:abstractNum>
  <w:abstractNum w:abstractNumId="40">
    <w:nsid w:val="F5E9C10B"/>
    <w:multiLevelType w:val="singleLevel"/>
    <w:tmpl w:val="F5E9C10B"/>
    <w:lvl w:ilvl="0" w:tentative="0">
      <w:start w:val="1"/>
      <w:numFmt w:val="decimal"/>
      <w:lvlText w:val="%1."/>
      <w:lvlJc w:val="left"/>
      <w:pPr>
        <w:ind w:left="425" w:hanging="425"/>
      </w:pPr>
      <w:rPr>
        <w:rFonts w:hint="default"/>
      </w:rPr>
    </w:lvl>
  </w:abstractNum>
  <w:abstractNum w:abstractNumId="41">
    <w:nsid w:val="F6F92DCC"/>
    <w:multiLevelType w:val="singleLevel"/>
    <w:tmpl w:val="F6F92DCC"/>
    <w:lvl w:ilvl="0" w:tentative="0">
      <w:start w:val="1"/>
      <w:numFmt w:val="decimal"/>
      <w:lvlText w:val="%1."/>
      <w:lvlJc w:val="left"/>
      <w:pPr>
        <w:ind w:left="425" w:hanging="425"/>
      </w:pPr>
      <w:rPr>
        <w:rFonts w:hint="default"/>
      </w:rPr>
    </w:lvl>
  </w:abstractNum>
  <w:abstractNum w:abstractNumId="42">
    <w:nsid w:val="F825AE85"/>
    <w:multiLevelType w:val="singleLevel"/>
    <w:tmpl w:val="F825AE85"/>
    <w:lvl w:ilvl="0" w:tentative="0">
      <w:start w:val="1"/>
      <w:numFmt w:val="decimal"/>
      <w:lvlText w:val="%1."/>
      <w:lvlJc w:val="left"/>
      <w:pPr>
        <w:ind w:left="425" w:hanging="425"/>
      </w:pPr>
      <w:rPr>
        <w:rFonts w:hint="default"/>
      </w:rPr>
    </w:lvl>
  </w:abstractNum>
  <w:abstractNum w:abstractNumId="43">
    <w:nsid w:val="FFA39377"/>
    <w:multiLevelType w:val="singleLevel"/>
    <w:tmpl w:val="FFA39377"/>
    <w:lvl w:ilvl="0" w:tentative="0">
      <w:start w:val="1"/>
      <w:numFmt w:val="decimal"/>
      <w:lvlText w:val="%1."/>
      <w:lvlJc w:val="left"/>
      <w:pPr>
        <w:ind w:left="425" w:hanging="425"/>
      </w:pPr>
      <w:rPr>
        <w:rFonts w:hint="default"/>
      </w:rPr>
    </w:lvl>
  </w:abstractNum>
  <w:abstractNum w:abstractNumId="44">
    <w:nsid w:val="029BD6D1"/>
    <w:multiLevelType w:val="singleLevel"/>
    <w:tmpl w:val="029BD6D1"/>
    <w:lvl w:ilvl="0" w:tentative="0">
      <w:start w:val="1"/>
      <w:numFmt w:val="decimal"/>
      <w:lvlText w:val="%1."/>
      <w:lvlJc w:val="left"/>
      <w:pPr>
        <w:ind w:left="425" w:hanging="425"/>
      </w:pPr>
      <w:rPr>
        <w:rFonts w:hint="default"/>
      </w:rPr>
    </w:lvl>
  </w:abstractNum>
  <w:abstractNum w:abstractNumId="45">
    <w:nsid w:val="0493F45F"/>
    <w:multiLevelType w:val="singleLevel"/>
    <w:tmpl w:val="0493F45F"/>
    <w:lvl w:ilvl="0" w:tentative="0">
      <w:start w:val="1"/>
      <w:numFmt w:val="decimal"/>
      <w:lvlText w:val="%1."/>
      <w:lvlJc w:val="left"/>
      <w:pPr>
        <w:ind w:left="425" w:hanging="425"/>
      </w:pPr>
      <w:rPr>
        <w:rFonts w:hint="default"/>
      </w:rPr>
    </w:lvl>
  </w:abstractNum>
  <w:abstractNum w:abstractNumId="46">
    <w:nsid w:val="06112A03"/>
    <w:multiLevelType w:val="singleLevel"/>
    <w:tmpl w:val="06112A03"/>
    <w:lvl w:ilvl="0" w:tentative="0">
      <w:start w:val="1"/>
      <w:numFmt w:val="decimal"/>
      <w:lvlText w:val="%1."/>
      <w:lvlJc w:val="left"/>
      <w:pPr>
        <w:ind w:left="425" w:hanging="425"/>
      </w:pPr>
      <w:rPr>
        <w:rFonts w:hint="default"/>
      </w:rPr>
    </w:lvl>
  </w:abstractNum>
  <w:abstractNum w:abstractNumId="47">
    <w:nsid w:val="0DD02952"/>
    <w:multiLevelType w:val="singleLevel"/>
    <w:tmpl w:val="0DD02952"/>
    <w:lvl w:ilvl="0" w:tentative="0">
      <w:start w:val="1"/>
      <w:numFmt w:val="decimal"/>
      <w:lvlText w:val="%1."/>
      <w:lvlJc w:val="left"/>
      <w:pPr>
        <w:ind w:left="425" w:hanging="425"/>
      </w:pPr>
      <w:rPr>
        <w:rFonts w:hint="default"/>
      </w:rPr>
    </w:lvl>
  </w:abstractNum>
  <w:abstractNum w:abstractNumId="48">
    <w:nsid w:val="109B18CF"/>
    <w:multiLevelType w:val="singleLevel"/>
    <w:tmpl w:val="109B18CF"/>
    <w:lvl w:ilvl="0" w:tentative="0">
      <w:start w:val="1"/>
      <w:numFmt w:val="decimal"/>
      <w:lvlText w:val="%1."/>
      <w:lvlJc w:val="left"/>
      <w:pPr>
        <w:ind w:left="425" w:hanging="425"/>
      </w:pPr>
      <w:rPr>
        <w:rFonts w:hint="default"/>
      </w:rPr>
    </w:lvl>
  </w:abstractNum>
  <w:abstractNum w:abstractNumId="49">
    <w:nsid w:val="1119D6E2"/>
    <w:multiLevelType w:val="singleLevel"/>
    <w:tmpl w:val="1119D6E2"/>
    <w:lvl w:ilvl="0" w:tentative="0">
      <w:start w:val="1"/>
      <w:numFmt w:val="decimal"/>
      <w:lvlText w:val="%1."/>
      <w:lvlJc w:val="left"/>
      <w:pPr>
        <w:ind w:left="425" w:hanging="425"/>
      </w:pPr>
      <w:rPr>
        <w:rFonts w:hint="default"/>
      </w:rPr>
    </w:lvl>
  </w:abstractNum>
  <w:abstractNum w:abstractNumId="50">
    <w:nsid w:val="12981E34"/>
    <w:multiLevelType w:val="singleLevel"/>
    <w:tmpl w:val="12981E34"/>
    <w:lvl w:ilvl="0" w:tentative="0">
      <w:start w:val="1"/>
      <w:numFmt w:val="decimal"/>
      <w:lvlText w:val="%1."/>
      <w:lvlJc w:val="left"/>
      <w:pPr>
        <w:ind w:left="425" w:hanging="425"/>
      </w:pPr>
      <w:rPr>
        <w:rFonts w:hint="default"/>
      </w:rPr>
    </w:lvl>
  </w:abstractNum>
  <w:abstractNum w:abstractNumId="51">
    <w:nsid w:val="176121D2"/>
    <w:multiLevelType w:val="singleLevel"/>
    <w:tmpl w:val="176121D2"/>
    <w:lvl w:ilvl="0" w:tentative="0">
      <w:start w:val="1"/>
      <w:numFmt w:val="decimal"/>
      <w:lvlText w:val="%1."/>
      <w:lvlJc w:val="left"/>
      <w:pPr>
        <w:ind w:left="425" w:hanging="425"/>
      </w:pPr>
      <w:rPr>
        <w:rFonts w:hint="default"/>
      </w:rPr>
    </w:lvl>
  </w:abstractNum>
  <w:abstractNum w:abstractNumId="52">
    <w:nsid w:val="1A494A32"/>
    <w:multiLevelType w:val="singleLevel"/>
    <w:tmpl w:val="1A494A32"/>
    <w:lvl w:ilvl="0" w:tentative="0">
      <w:start w:val="1"/>
      <w:numFmt w:val="chineseCounting"/>
      <w:suff w:val="nothing"/>
      <w:lvlText w:val="（%1）"/>
      <w:lvlJc w:val="left"/>
      <w:pPr>
        <w:ind w:left="0" w:firstLine="420"/>
      </w:pPr>
      <w:rPr>
        <w:rFonts w:hint="eastAsia"/>
      </w:rPr>
    </w:lvl>
  </w:abstractNum>
  <w:abstractNum w:abstractNumId="53">
    <w:nsid w:val="1B3D9A3C"/>
    <w:multiLevelType w:val="singleLevel"/>
    <w:tmpl w:val="1B3D9A3C"/>
    <w:lvl w:ilvl="0" w:tentative="0">
      <w:start w:val="1"/>
      <w:numFmt w:val="decimal"/>
      <w:lvlText w:val="%1."/>
      <w:lvlJc w:val="left"/>
      <w:pPr>
        <w:ind w:left="425" w:hanging="425"/>
      </w:pPr>
      <w:rPr>
        <w:rFonts w:hint="default"/>
      </w:rPr>
    </w:lvl>
  </w:abstractNum>
  <w:abstractNum w:abstractNumId="54">
    <w:nsid w:val="1C976798"/>
    <w:multiLevelType w:val="singleLevel"/>
    <w:tmpl w:val="1C976798"/>
    <w:lvl w:ilvl="0" w:tentative="0">
      <w:start w:val="1"/>
      <w:numFmt w:val="decimal"/>
      <w:lvlText w:val="(%1)"/>
      <w:lvlJc w:val="left"/>
      <w:pPr>
        <w:ind w:left="425" w:hanging="425"/>
      </w:pPr>
      <w:rPr>
        <w:rFonts w:hint="default"/>
      </w:rPr>
    </w:lvl>
  </w:abstractNum>
  <w:abstractNum w:abstractNumId="55">
    <w:nsid w:val="1CAF5A20"/>
    <w:multiLevelType w:val="singleLevel"/>
    <w:tmpl w:val="1CAF5A20"/>
    <w:lvl w:ilvl="0" w:tentative="0">
      <w:start w:val="1"/>
      <w:numFmt w:val="decimal"/>
      <w:lvlText w:val="%1."/>
      <w:lvlJc w:val="left"/>
      <w:pPr>
        <w:ind w:left="425" w:hanging="425"/>
      </w:pPr>
      <w:rPr>
        <w:rFonts w:hint="default"/>
      </w:rPr>
    </w:lvl>
  </w:abstractNum>
  <w:abstractNum w:abstractNumId="56">
    <w:nsid w:val="2253B2D7"/>
    <w:multiLevelType w:val="singleLevel"/>
    <w:tmpl w:val="2253B2D7"/>
    <w:lvl w:ilvl="0" w:tentative="0">
      <w:start w:val="1"/>
      <w:numFmt w:val="decimal"/>
      <w:lvlText w:val="%1."/>
      <w:lvlJc w:val="left"/>
      <w:pPr>
        <w:ind w:left="425" w:hanging="425"/>
      </w:pPr>
      <w:rPr>
        <w:rFonts w:hint="default"/>
      </w:rPr>
    </w:lvl>
  </w:abstractNum>
  <w:abstractNum w:abstractNumId="57">
    <w:nsid w:val="289DF6F8"/>
    <w:multiLevelType w:val="singleLevel"/>
    <w:tmpl w:val="289DF6F8"/>
    <w:lvl w:ilvl="0" w:tentative="0">
      <w:start w:val="1"/>
      <w:numFmt w:val="decimal"/>
      <w:lvlText w:val="%1."/>
      <w:lvlJc w:val="left"/>
      <w:pPr>
        <w:ind w:left="425" w:hanging="425"/>
      </w:pPr>
      <w:rPr>
        <w:rFonts w:hint="default"/>
      </w:rPr>
    </w:lvl>
  </w:abstractNum>
  <w:abstractNum w:abstractNumId="58">
    <w:nsid w:val="29771E15"/>
    <w:multiLevelType w:val="singleLevel"/>
    <w:tmpl w:val="29771E15"/>
    <w:lvl w:ilvl="0" w:tentative="0">
      <w:start w:val="1"/>
      <w:numFmt w:val="decimal"/>
      <w:lvlText w:val="(%1)"/>
      <w:lvlJc w:val="left"/>
      <w:pPr>
        <w:ind w:left="425" w:hanging="425"/>
      </w:pPr>
      <w:rPr>
        <w:rFonts w:hint="default"/>
      </w:rPr>
    </w:lvl>
  </w:abstractNum>
  <w:abstractNum w:abstractNumId="59">
    <w:nsid w:val="2A797F12"/>
    <w:multiLevelType w:val="singleLevel"/>
    <w:tmpl w:val="2A797F12"/>
    <w:lvl w:ilvl="0" w:tentative="0">
      <w:start w:val="1"/>
      <w:numFmt w:val="decimal"/>
      <w:lvlText w:val="%1."/>
      <w:lvlJc w:val="left"/>
      <w:pPr>
        <w:ind w:left="425" w:hanging="425"/>
      </w:pPr>
      <w:rPr>
        <w:rFonts w:hint="default"/>
      </w:rPr>
    </w:lvl>
  </w:abstractNum>
  <w:abstractNum w:abstractNumId="60">
    <w:nsid w:val="2E6AFE28"/>
    <w:multiLevelType w:val="singleLevel"/>
    <w:tmpl w:val="2E6AFE28"/>
    <w:lvl w:ilvl="0" w:tentative="0">
      <w:start w:val="1"/>
      <w:numFmt w:val="decimal"/>
      <w:lvlText w:val="%1."/>
      <w:lvlJc w:val="left"/>
      <w:pPr>
        <w:ind w:left="425" w:hanging="425"/>
      </w:pPr>
      <w:rPr>
        <w:rFonts w:hint="default"/>
      </w:rPr>
    </w:lvl>
  </w:abstractNum>
  <w:abstractNum w:abstractNumId="61">
    <w:nsid w:val="337A463A"/>
    <w:multiLevelType w:val="singleLevel"/>
    <w:tmpl w:val="337A463A"/>
    <w:lvl w:ilvl="0" w:tentative="0">
      <w:start w:val="1"/>
      <w:numFmt w:val="decimal"/>
      <w:lvlText w:val="%1."/>
      <w:lvlJc w:val="left"/>
      <w:pPr>
        <w:ind w:left="425" w:hanging="425"/>
      </w:pPr>
      <w:rPr>
        <w:rFonts w:hint="default"/>
      </w:rPr>
    </w:lvl>
  </w:abstractNum>
  <w:abstractNum w:abstractNumId="62">
    <w:nsid w:val="354053E1"/>
    <w:multiLevelType w:val="singleLevel"/>
    <w:tmpl w:val="354053E1"/>
    <w:lvl w:ilvl="0" w:tentative="0">
      <w:start w:val="1"/>
      <w:numFmt w:val="decimal"/>
      <w:lvlText w:val="%1."/>
      <w:lvlJc w:val="left"/>
      <w:pPr>
        <w:ind w:left="425" w:hanging="425"/>
      </w:pPr>
      <w:rPr>
        <w:rFonts w:hint="default"/>
      </w:rPr>
    </w:lvl>
  </w:abstractNum>
  <w:abstractNum w:abstractNumId="63">
    <w:nsid w:val="3AF5A039"/>
    <w:multiLevelType w:val="singleLevel"/>
    <w:tmpl w:val="3AF5A039"/>
    <w:lvl w:ilvl="0" w:tentative="0">
      <w:start w:val="1"/>
      <w:numFmt w:val="decimal"/>
      <w:lvlText w:val="%1."/>
      <w:lvlJc w:val="left"/>
      <w:pPr>
        <w:ind w:left="425" w:hanging="425"/>
      </w:pPr>
      <w:rPr>
        <w:rFonts w:hint="default"/>
      </w:rPr>
    </w:lvl>
  </w:abstractNum>
  <w:abstractNum w:abstractNumId="64">
    <w:nsid w:val="3BB54578"/>
    <w:multiLevelType w:val="singleLevel"/>
    <w:tmpl w:val="3BB54578"/>
    <w:lvl w:ilvl="0" w:tentative="0">
      <w:start w:val="1"/>
      <w:numFmt w:val="decimal"/>
      <w:lvlText w:val="%1."/>
      <w:lvlJc w:val="left"/>
      <w:pPr>
        <w:ind w:left="425" w:hanging="425"/>
      </w:pPr>
      <w:rPr>
        <w:rFonts w:hint="default"/>
      </w:rPr>
    </w:lvl>
  </w:abstractNum>
  <w:abstractNum w:abstractNumId="65">
    <w:nsid w:val="3C8AE5C1"/>
    <w:multiLevelType w:val="singleLevel"/>
    <w:tmpl w:val="3C8AE5C1"/>
    <w:lvl w:ilvl="0" w:tentative="0">
      <w:start w:val="1"/>
      <w:numFmt w:val="decimal"/>
      <w:lvlText w:val="%1."/>
      <w:lvlJc w:val="left"/>
      <w:pPr>
        <w:ind w:left="425" w:hanging="425"/>
      </w:pPr>
      <w:rPr>
        <w:rFonts w:hint="default"/>
      </w:rPr>
    </w:lvl>
  </w:abstractNum>
  <w:abstractNum w:abstractNumId="66">
    <w:nsid w:val="41439FEF"/>
    <w:multiLevelType w:val="singleLevel"/>
    <w:tmpl w:val="41439FEF"/>
    <w:lvl w:ilvl="0" w:tentative="0">
      <w:start w:val="1"/>
      <w:numFmt w:val="decimal"/>
      <w:lvlText w:val="%1."/>
      <w:lvlJc w:val="left"/>
      <w:pPr>
        <w:ind w:left="425" w:hanging="425"/>
      </w:pPr>
      <w:rPr>
        <w:rFonts w:hint="default"/>
      </w:rPr>
    </w:lvl>
  </w:abstractNum>
  <w:abstractNum w:abstractNumId="67">
    <w:nsid w:val="42EEA09C"/>
    <w:multiLevelType w:val="singleLevel"/>
    <w:tmpl w:val="42EEA09C"/>
    <w:lvl w:ilvl="0" w:tentative="0">
      <w:start w:val="1"/>
      <w:numFmt w:val="decimal"/>
      <w:lvlText w:val="%1."/>
      <w:lvlJc w:val="left"/>
      <w:pPr>
        <w:ind w:left="425" w:hanging="425"/>
      </w:pPr>
      <w:rPr>
        <w:rFonts w:hint="default"/>
      </w:rPr>
    </w:lvl>
  </w:abstractNum>
  <w:abstractNum w:abstractNumId="68">
    <w:nsid w:val="442E6D37"/>
    <w:multiLevelType w:val="singleLevel"/>
    <w:tmpl w:val="442E6D37"/>
    <w:lvl w:ilvl="0" w:tentative="0">
      <w:start w:val="1"/>
      <w:numFmt w:val="decimal"/>
      <w:lvlText w:val="(%1)"/>
      <w:lvlJc w:val="left"/>
      <w:pPr>
        <w:ind w:left="425" w:hanging="425"/>
      </w:pPr>
      <w:rPr>
        <w:rFonts w:hint="default"/>
      </w:rPr>
    </w:lvl>
  </w:abstractNum>
  <w:abstractNum w:abstractNumId="69">
    <w:nsid w:val="446BC6B3"/>
    <w:multiLevelType w:val="singleLevel"/>
    <w:tmpl w:val="446BC6B3"/>
    <w:lvl w:ilvl="0" w:tentative="0">
      <w:start w:val="1"/>
      <w:numFmt w:val="decimal"/>
      <w:lvlText w:val="%1."/>
      <w:lvlJc w:val="left"/>
      <w:pPr>
        <w:ind w:left="425" w:hanging="425"/>
      </w:pPr>
      <w:rPr>
        <w:rFonts w:hint="default"/>
      </w:rPr>
    </w:lvl>
  </w:abstractNum>
  <w:abstractNum w:abstractNumId="70">
    <w:nsid w:val="48F99776"/>
    <w:multiLevelType w:val="singleLevel"/>
    <w:tmpl w:val="48F99776"/>
    <w:lvl w:ilvl="0" w:tentative="0">
      <w:start w:val="1"/>
      <w:numFmt w:val="decimal"/>
      <w:lvlText w:val="%1."/>
      <w:lvlJc w:val="left"/>
      <w:pPr>
        <w:ind w:left="425" w:hanging="425"/>
      </w:pPr>
      <w:rPr>
        <w:rFonts w:hint="default"/>
      </w:rPr>
    </w:lvl>
  </w:abstractNum>
  <w:abstractNum w:abstractNumId="71">
    <w:nsid w:val="4D4C433B"/>
    <w:multiLevelType w:val="singleLevel"/>
    <w:tmpl w:val="4D4C433B"/>
    <w:lvl w:ilvl="0" w:tentative="0">
      <w:start w:val="1"/>
      <w:numFmt w:val="decimal"/>
      <w:suff w:val="nothing"/>
      <w:lvlText w:val="（%1）"/>
      <w:lvlJc w:val="left"/>
    </w:lvl>
  </w:abstractNum>
  <w:abstractNum w:abstractNumId="72">
    <w:nsid w:val="4E05D273"/>
    <w:multiLevelType w:val="singleLevel"/>
    <w:tmpl w:val="4E05D273"/>
    <w:lvl w:ilvl="0" w:tentative="0">
      <w:start w:val="1"/>
      <w:numFmt w:val="decimal"/>
      <w:lvlText w:val="%1."/>
      <w:lvlJc w:val="left"/>
      <w:pPr>
        <w:ind w:left="425" w:hanging="425"/>
      </w:pPr>
      <w:rPr>
        <w:rFonts w:hint="default"/>
      </w:rPr>
    </w:lvl>
  </w:abstractNum>
  <w:abstractNum w:abstractNumId="73">
    <w:nsid w:val="503620E0"/>
    <w:multiLevelType w:val="singleLevel"/>
    <w:tmpl w:val="503620E0"/>
    <w:lvl w:ilvl="0" w:tentative="0">
      <w:start w:val="1"/>
      <w:numFmt w:val="decimal"/>
      <w:lvlText w:val="%1."/>
      <w:lvlJc w:val="left"/>
      <w:pPr>
        <w:ind w:left="425" w:hanging="425"/>
      </w:pPr>
      <w:rPr>
        <w:rFonts w:hint="default"/>
      </w:rPr>
    </w:lvl>
  </w:abstractNum>
  <w:abstractNum w:abstractNumId="74">
    <w:nsid w:val="578B819A"/>
    <w:multiLevelType w:val="singleLevel"/>
    <w:tmpl w:val="578B819A"/>
    <w:lvl w:ilvl="0" w:tentative="0">
      <w:start w:val="1"/>
      <w:numFmt w:val="decimal"/>
      <w:lvlText w:val="%1."/>
      <w:lvlJc w:val="left"/>
      <w:pPr>
        <w:ind w:left="425" w:hanging="425"/>
      </w:pPr>
      <w:rPr>
        <w:rFonts w:hint="default"/>
      </w:rPr>
    </w:lvl>
  </w:abstractNum>
  <w:abstractNum w:abstractNumId="75">
    <w:nsid w:val="5A684A36"/>
    <w:multiLevelType w:val="singleLevel"/>
    <w:tmpl w:val="5A684A36"/>
    <w:lvl w:ilvl="0" w:tentative="0">
      <w:start w:val="1"/>
      <w:numFmt w:val="decimal"/>
      <w:lvlText w:val="%1."/>
      <w:lvlJc w:val="left"/>
      <w:pPr>
        <w:ind w:left="425" w:hanging="425"/>
      </w:pPr>
      <w:rPr>
        <w:rFonts w:hint="default"/>
      </w:rPr>
    </w:lvl>
  </w:abstractNum>
  <w:abstractNum w:abstractNumId="76">
    <w:nsid w:val="5F0283C2"/>
    <w:multiLevelType w:val="singleLevel"/>
    <w:tmpl w:val="5F0283C2"/>
    <w:lvl w:ilvl="0" w:tentative="0">
      <w:start w:val="1"/>
      <w:numFmt w:val="decimal"/>
      <w:lvlText w:val="%1."/>
      <w:lvlJc w:val="left"/>
      <w:pPr>
        <w:ind w:left="425" w:hanging="425"/>
      </w:pPr>
      <w:rPr>
        <w:rFonts w:hint="default"/>
      </w:rPr>
    </w:lvl>
  </w:abstractNum>
  <w:abstractNum w:abstractNumId="77">
    <w:nsid w:val="64B465B1"/>
    <w:multiLevelType w:val="singleLevel"/>
    <w:tmpl w:val="64B465B1"/>
    <w:lvl w:ilvl="0" w:tentative="0">
      <w:start w:val="1"/>
      <w:numFmt w:val="decimal"/>
      <w:lvlText w:val="%1."/>
      <w:lvlJc w:val="left"/>
      <w:pPr>
        <w:ind w:left="425" w:hanging="425"/>
      </w:pPr>
      <w:rPr>
        <w:rFonts w:hint="default"/>
      </w:rPr>
    </w:lvl>
  </w:abstractNum>
  <w:abstractNum w:abstractNumId="78">
    <w:nsid w:val="65462298"/>
    <w:multiLevelType w:val="singleLevel"/>
    <w:tmpl w:val="65462298"/>
    <w:lvl w:ilvl="0" w:tentative="0">
      <w:start w:val="1"/>
      <w:numFmt w:val="decimal"/>
      <w:lvlText w:val="(%1)"/>
      <w:lvlJc w:val="left"/>
      <w:pPr>
        <w:ind w:left="425" w:hanging="425"/>
      </w:pPr>
      <w:rPr>
        <w:rFonts w:hint="default"/>
      </w:rPr>
    </w:lvl>
  </w:abstractNum>
  <w:abstractNum w:abstractNumId="79">
    <w:nsid w:val="683B7BDC"/>
    <w:multiLevelType w:val="singleLevel"/>
    <w:tmpl w:val="683B7BDC"/>
    <w:lvl w:ilvl="0" w:tentative="0">
      <w:start w:val="1"/>
      <w:numFmt w:val="decimal"/>
      <w:lvlText w:val="(%1)"/>
      <w:lvlJc w:val="left"/>
      <w:pPr>
        <w:ind w:left="425" w:hanging="425"/>
      </w:pPr>
      <w:rPr>
        <w:rFonts w:hint="default"/>
      </w:rPr>
    </w:lvl>
  </w:abstractNum>
  <w:abstractNum w:abstractNumId="80">
    <w:nsid w:val="6C5C85E7"/>
    <w:multiLevelType w:val="singleLevel"/>
    <w:tmpl w:val="6C5C85E7"/>
    <w:lvl w:ilvl="0" w:tentative="0">
      <w:start w:val="1"/>
      <w:numFmt w:val="decimal"/>
      <w:lvlText w:val="%1."/>
      <w:lvlJc w:val="left"/>
      <w:pPr>
        <w:ind w:left="425" w:hanging="425"/>
      </w:pPr>
      <w:rPr>
        <w:rFonts w:hint="default"/>
      </w:rPr>
    </w:lvl>
  </w:abstractNum>
  <w:abstractNum w:abstractNumId="81">
    <w:nsid w:val="71CFC715"/>
    <w:multiLevelType w:val="singleLevel"/>
    <w:tmpl w:val="71CFC715"/>
    <w:lvl w:ilvl="0" w:tentative="0">
      <w:start w:val="1"/>
      <w:numFmt w:val="decimal"/>
      <w:lvlText w:val="%1."/>
      <w:lvlJc w:val="left"/>
      <w:pPr>
        <w:ind w:left="425" w:hanging="425"/>
      </w:pPr>
      <w:rPr>
        <w:rFonts w:hint="default"/>
      </w:rPr>
    </w:lvl>
  </w:abstractNum>
  <w:abstractNum w:abstractNumId="82">
    <w:nsid w:val="7419A4B4"/>
    <w:multiLevelType w:val="singleLevel"/>
    <w:tmpl w:val="7419A4B4"/>
    <w:lvl w:ilvl="0" w:tentative="0">
      <w:start w:val="1"/>
      <w:numFmt w:val="decimal"/>
      <w:lvlText w:val="(%1)"/>
      <w:lvlJc w:val="left"/>
      <w:pPr>
        <w:ind w:left="425" w:hanging="425"/>
      </w:pPr>
      <w:rPr>
        <w:rFonts w:hint="default"/>
      </w:rPr>
    </w:lvl>
  </w:abstractNum>
  <w:abstractNum w:abstractNumId="83">
    <w:nsid w:val="766A7F4E"/>
    <w:multiLevelType w:val="singleLevel"/>
    <w:tmpl w:val="766A7F4E"/>
    <w:lvl w:ilvl="0" w:tentative="0">
      <w:start w:val="1"/>
      <w:numFmt w:val="decimal"/>
      <w:lvlText w:val="%1."/>
      <w:lvlJc w:val="left"/>
      <w:pPr>
        <w:ind w:left="425" w:hanging="425"/>
      </w:pPr>
      <w:rPr>
        <w:rFonts w:hint="default"/>
      </w:rPr>
    </w:lvl>
  </w:abstractNum>
  <w:abstractNum w:abstractNumId="84">
    <w:nsid w:val="76F28691"/>
    <w:multiLevelType w:val="singleLevel"/>
    <w:tmpl w:val="76F28691"/>
    <w:lvl w:ilvl="0" w:tentative="0">
      <w:start w:val="1"/>
      <w:numFmt w:val="decimal"/>
      <w:lvlText w:val="%1."/>
      <w:lvlJc w:val="left"/>
      <w:pPr>
        <w:ind w:left="425" w:hanging="425"/>
      </w:pPr>
      <w:rPr>
        <w:rFonts w:hint="default"/>
      </w:rPr>
    </w:lvl>
  </w:abstractNum>
  <w:abstractNum w:abstractNumId="85">
    <w:nsid w:val="773AA017"/>
    <w:multiLevelType w:val="singleLevel"/>
    <w:tmpl w:val="773AA017"/>
    <w:lvl w:ilvl="0" w:tentative="0">
      <w:start w:val="1"/>
      <w:numFmt w:val="decimal"/>
      <w:lvlText w:val="%1."/>
      <w:lvlJc w:val="left"/>
      <w:pPr>
        <w:ind w:left="425" w:hanging="425"/>
      </w:pPr>
      <w:rPr>
        <w:rFonts w:hint="default"/>
      </w:rPr>
    </w:lvl>
  </w:abstractNum>
  <w:abstractNum w:abstractNumId="86">
    <w:nsid w:val="79238A63"/>
    <w:multiLevelType w:val="singleLevel"/>
    <w:tmpl w:val="79238A63"/>
    <w:lvl w:ilvl="0" w:tentative="0">
      <w:start w:val="1"/>
      <w:numFmt w:val="decimal"/>
      <w:lvlText w:val="%1."/>
      <w:lvlJc w:val="left"/>
      <w:pPr>
        <w:ind w:left="425" w:hanging="425"/>
      </w:pPr>
      <w:rPr>
        <w:rFonts w:hint="default"/>
      </w:rPr>
    </w:lvl>
  </w:abstractNum>
  <w:num w:numId="1">
    <w:abstractNumId w:val="52"/>
  </w:num>
  <w:num w:numId="2">
    <w:abstractNumId w:val="24"/>
  </w:num>
  <w:num w:numId="3">
    <w:abstractNumId w:val="15"/>
  </w:num>
  <w:num w:numId="4">
    <w:abstractNumId w:val="41"/>
  </w:num>
  <w:num w:numId="5">
    <w:abstractNumId w:val="13"/>
  </w:num>
  <w:num w:numId="6">
    <w:abstractNumId w:val="34"/>
  </w:num>
  <w:num w:numId="7">
    <w:abstractNumId w:val="60"/>
  </w:num>
  <w:num w:numId="8">
    <w:abstractNumId w:val="49"/>
  </w:num>
  <w:num w:numId="9">
    <w:abstractNumId w:val="37"/>
  </w:num>
  <w:num w:numId="10">
    <w:abstractNumId w:val="70"/>
  </w:num>
  <w:num w:numId="11">
    <w:abstractNumId w:val="38"/>
  </w:num>
  <w:num w:numId="12">
    <w:abstractNumId w:val="74"/>
  </w:num>
  <w:num w:numId="13">
    <w:abstractNumId w:val="6"/>
  </w:num>
  <w:num w:numId="14">
    <w:abstractNumId w:val="29"/>
  </w:num>
  <w:num w:numId="15">
    <w:abstractNumId w:val="77"/>
  </w:num>
  <w:num w:numId="16">
    <w:abstractNumId w:val="47"/>
  </w:num>
  <w:num w:numId="17">
    <w:abstractNumId w:val="72"/>
  </w:num>
  <w:num w:numId="18">
    <w:abstractNumId w:val="8"/>
  </w:num>
  <w:num w:numId="19">
    <w:abstractNumId w:val="10"/>
  </w:num>
  <w:num w:numId="20">
    <w:abstractNumId w:val="26"/>
  </w:num>
  <w:num w:numId="21">
    <w:abstractNumId w:val="3"/>
  </w:num>
  <w:num w:numId="22">
    <w:abstractNumId w:val="78"/>
  </w:num>
  <w:num w:numId="23">
    <w:abstractNumId w:val="54"/>
  </w:num>
  <w:num w:numId="24">
    <w:abstractNumId w:val="30"/>
  </w:num>
  <w:num w:numId="25">
    <w:abstractNumId w:val="79"/>
  </w:num>
  <w:num w:numId="26">
    <w:abstractNumId w:val="82"/>
  </w:num>
  <w:num w:numId="27">
    <w:abstractNumId w:val="28"/>
  </w:num>
  <w:num w:numId="28">
    <w:abstractNumId w:val="1"/>
  </w:num>
  <w:num w:numId="29">
    <w:abstractNumId w:val="80"/>
  </w:num>
  <w:num w:numId="30">
    <w:abstractNumId w:val="83"/>
  </w:num>
  <w:num w:numId="31">
    <w:abstractNumId w:val="20"/>
  </w:num>
  <w:num w:numId="32">
    <w:abstractNumId w:val="63"/>
  </w:num>
  <w:num w:numId="33">
    <w:abstractNumId w:val="42"/>
  </w:num>
  <w:num w:numId="34">
    <w:abstractNumId w:val="18"/>
  </w:num>
  <w:num w:numId="35">
    <w:abstractNumId w:val="61"/>
  </w:num>
  <w:num w:numId="36">
    <w:abstractNumId w:val="71"/>
  </w:num>
  <w:num w:numId="37">
    <w:abstractNumId w:val="45"/>
  </w:num>
  <w:num w:numId="38">
    <w:abstractNumId w:val="85"/>
  </w:num>
  <w:num w:numId="39">
    <w:abstractNumId w:val="67"/>
  </w:num>
  <w:num w:numId="40">
    <w:abstractNumId w:val="35"/>
  </w:num>
  <w:num w:numId="41">
    <w:abstractNumId w:val="65"/>
  </w:num>
  <w:num w:numId="42">
    <w:abstractNumId w:val="16"/>
  </w:num>
  <w:num w:numId="43">
    <w:abstractNumId w:val="55"/>
  </w:num>
  <w:num w:numId="44">
    <w:abstractNumId w:val="66"/>
  </w:num>
  <w:num w:numId="45">
    <w:abstractNumId w:val="48"/>
  </w:num>
  <w:num w:numId="46">
    <w:abstractNumId w:val="19"/>
  </w:num>
  <w:num w:numId="47">
    <w:abstractNumId w:val="64"/>
  </w:num>
  <w:num w:numId="48">
    <w:abstractNumId w:val="86"/>
  </w:num>
  <w:num w:numId="49">
    <w:abstractNumId w:val="22"/>
  </w:num>
  <w:num w:numId="50">
    <w:abstractNumId w:val="36"/>
  </w:num>
  <w:num w:numId="51">
    <w:abstractNumId w:val="12"/>
  </w:num>
  <w:num w:numId="52">
    <w:abstractNumId w:val="21"/>
  </w:num>
  <w:num w:numId="53">
    <w:abstractNumId w:val="2"/>
  </w:num>
  <w:num w:numId="54">
    <w:abstractNumId w:val="5"/>
  </w:num>
  <w:num w:numId="55">
    <w:abstractNumId w:val="62"/>
  </w:num>
  <w:num w:numId="56">
    <w:abstractNumId w:val="0"/>
  </w:num>
  <w:num w:numId="57">
    <w:abstractNumId w:val="31"/>
  </w:num>
  <w:num w:numId="58">
    <w:abstractNumId w:val="84"/>
  </w:num>
  <w:num w:numId="59">
    <w:abstractNumId w:val="76"/>
  </w:num>
  <w:num w:numId="60">
    <w:abstractNumId w:val="9"/>
  </w:num>
  <w:num w:numId="61">
    <w:abstractNumId w:val="53"/>
  </w:num>
  <w:num w:numId="62">
    <w:abstractNumId w:val="51"/>
  </w:num>
  <w:num w:numId="63">
    <w:abstractNumId w:val="50"/>
  </w:num>
  <w:num w:numId="64">
    <w:abstractNumId w:val="25"/>
  </w:num>
  <w:num w:numId="65">
    <w:abstractNumId w:val="14"/>
  </w:num>
  <w:num w:numId="66">
    <w:abstractNumId w:val="17"/>
  </w:num>
  <w:num w:numId="67">
    <w:abstractNumId w:val="4"/>
  </w:num>
  <w:num w:numId="68">
    <w:abstractNumId w:val="56"/>
  </w:num>
  <w:num w:numId="69">
    <w:abstractNumId w:val="11"/>
  </w:num>
  <w:num w:numId="70">
    <w:abstractNumId w:val="59"/>
  </w:num>
  <w:num w:numId="71">
    <w:abstractNumId w:val="81"/>
  </w:num>
  <w:num w:numId="72">
    <w:abstractNumId w:val="57"/>
  </w:num>
  <w:num w:numId="73">
    <w:abstractNumId w:val="44"/>
  </w:num>
  <w:num w:numId="74">
    <w:abstractNumId w:val="33"/>
  </w:num>
  <w:num w:numId="75">
    <w:abstractNumId w:val="46"/>
  </w:num>
  <w:num w:numId="76">
    <w:abstractNumId w:val="27"/>
  </w:num>
  <w:num w:numId="77">
    <w:abstractNumId w:val="23"/>
  </w:num>
  <w:num w:numId="78">
    <w:abstractNumId w:val="32"/>
  </w:num>
  <w:num w:numId="79">
    <w:abstractNumId w:val="75"/>
  </w:num>
  <w:num w:numId="80">
    <w:abstractNumId w:val="43"/>
  </w:num>
  <w:num w:numId="81">
    <w:abstractNumId w:val="58"/>
  </w:num>
  <w:num w:numId="82">
    <w:abstractNumId w:val="68"/>
  </w:num>
  <w:num w:numId="83">
    <w:abstractNumId w:val="40"/>
  </w:num>
  <w:num w:numId="84">
    <w:abstractNumId w:val="69"/>
  </w:num>
  <w:num w:numId="85">
    <w:abstractNumId w:val="7"/>
  </w:num>
  <w:num w:numId="86">
    <w:abstractNumId w:val="73"/>
  </w:num>
  <w:num w:numId="8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2124F7"/>
    <w:rsid w:val="00023DAA"/>
    <w:rsid w:val="00065717"/>
    <w:rsid w:val="00453907"/>
    <w:rsid w:val="00943E23"/>
    <w:rsid w:val="00B2360F"/>
    <w:rsid w:val="010134FA"/>
    <w:rsid w:val="01146EAE"/>
    <w:rsid w:val="01851624"/>
    <w:rsid w:val="01AA2A29"/>
    <w:rsid w:val="01DA59A1"/>
    <w:rsid w:val="01DB2B4E"/>
    <w:rsid w:val="01DD76DE"/>
    <w:rsid w:val="025D7E8B"/>
    <w:rsid w:val="0260569C"/>
    <w:rsid w:val="026D68E7"/>
    <w:rsid w:val="02AA6D9B"/>
    <w:rsid w:val="02B971EE"/>
    <w:rsid w:val="02CC1116"/>
    <w:rsid w:val="02FB7DBD"/>
    <w:rsid w:val="02FD6581"/>
    <w:rsid w:val="033553CB"/>
    <w:rsid w:val="036D7CEB"/>
    <w:rsid w:val="036F4989"/>
    <w:rsid w:val="03931C2E"/>
    <w:rsid w:val="03B95872"/>
    <w:rsid w:val="03D45BD2"/>
    <w:rsid w:val="03D90870"/>
    <w:rsid w:val="03EC6725"/>
    <w:rsid w:val="03F009AA"/>
    <w:rsid w:val="040C6B24"/>
    <w:rsid w:val="043059C7"/>
    <w:rsid w:val="04493D7C"/>
    <w:rsid w:val="0494435D"/>
    <w:rsid w:val="04BF440B"/>
    <w:rsid w:val="04C546D8"/>
    <w:rsid w:val="04C90EFD"/>
    <w:rsid w:val="055C5239"/>
    <w:rsid w:val="058C7168"/>
    <w:rsid w:val="060269EC"/>
    <w:rsid w:val="06053EBF"/>
    <w:rsid w:val="06293901"/>
    <w:rsid w:val="063A076B"/>
    <w:rsid w:val="063A5CE6"/>
    <w:rsid w:val="066A307B"/>
    <w:rsid w:val="06782974"/>
    <w:rsid w:val="071F7D1E"/>
    <w:rsid w:val="07206298"/>
    <w:rsid w:val="07546DF6"/>
    <w:rsid w:val="076D5BC6"/>
    <w:rsid w:val="07CB1884"/>
    <w:rsid w:val="07D540DC"/>
    <w:rsid w:val="07D62A89"/>
    <w:rsid w:val="0800026D"/>
    <w:rsid w:val="0815447A"/>
    <w:rsid w:val="082A43DE"/>
    <w:rsid w:val="085D0022"/>
    <w:rsid w:val="087673AD"/>
    <w:rsid w:val="08847FFA"/>
    <w:rsid w:val="08A47D9B"/>
    <w:rsid w:val="08D450E1"/>
    <w:rsid w:val="09405314"/>
    <w:rsid w:val="09BD141A"/>
    <w:rsid w:val="0A1123EB"/>
    <w:rsid w:val="0A1654D4"/>
    <w:rsid w:val="0A2A5B12"/>
    <w:rsid w:val="0A9C3CF6"/>
    <w:rsid w:val="0AAF4375"/>
    <w:rsid w:val="0AB36EF4"/>
    <w:rsid w:val="0AB86821"/>
    <w:rsid w:val="0B447C45"/>
    <w:rsid w:val="0B453E7F"/>
    <w:rsid w:val="0B895CEE"/>
    <w:rsid w:val="0B9232C6"/>
    <w:rsid w:val="0B9434EF"/>
    <w:rsid w:val="0BB84AF5"/>
    <w:rsid w:val="0BDB588F"/>
    <w:rsid w:val="0BF14F3A"/>
    <w:rsid w:val="0C0A57C9"/>
    <w:rsid w:val="0C0E6B58"/>
    <w:rsid w:val="0C1656ED"/>
    <w:rsid w:val="0C2124F7"/>
    <w:rsid w:val="0C354DDF"/>
    <w:rsid w:val="0C702F93"/>
    <w:rsid w:val="0C730C03"/>
    <w:rsid w:val="0C875897"/>
    <w:rsid w:val="0C9E24E7"/>
    <w:rsid w:val="0CB12C61"/>
    <w:rsid w:val="0CB93AE6"/>
    <w:rsid w:val="0D4F5F35"/>
    <w:rsid w:val="0D5A4302"/>
    <w:rsid w:val="0D6177E7"/>
    <w:rsid w:val="0D9A7589"/>
    <w:rsid w:val="0DB43404"/>
    <w:rsid w:val="0DBE548F"/>
    <w:rsid w:val="0DEB58D6"/>
    <w:rsid w:val="0E1E532D"/>
    <w:rsid w:val="0E44665C"/>
    <w:rsid w:val="0E544CC0"/>
    <w:rsid w:val="0E57234B"/>
    <w:rsid w:val="0E695643"/>
    <w:rsid w:val="0E9D6200"/>
    <w:rsid w:val="0ED265B5"/>
    <w:rsid w:val="0F6B7981"/>
    <w:rsid w:val="0F8F115D"/>
    <w:rsid w:val="0FAF5338"/>
    <w:rsid w:val="0FC4716E"/>
    <w:rsid w:val="0FC63BD7"/>
    <w:rsid w:val="0FD9611F"/>
    <w:rsid w:val="0FED7A90"/>
    <w:rsid w:val="100C2449"/>
    <w:rsid w:val="10121B53"/>
    <w:rsid w:val="103A6E88"/>
    <w:rsid w:val="10612EB6"/>
    <w:rsid w:val="10616DE7"/>
    <w:rsid w:val="10650D0E"/>
    <w:rsid w:val="10777A6D"/>
    <w:rsid w:val="10797503"/>
    <w:rsid w:val="108B7808"/>
    <w:rsid w:val="109F6046"/>
    <w:rsid w:val="10AA1F56"/>
    <w:rsid w:val="10C25BA5"/>
    <w:rsid w:val="10CA019B"/>
    <w:rsid w:val="10E50B01"/>
    <w:rsid w:val="10FE6B28"/>
    <w:rsid w:val="11007017"/>
    <w:rsid w:val="111C7C65"/>
    <w:rsid w:val="11263DF2"/>
    <w:rsid w:val="1157417F"/>
    <w:rsid w:val="1171578B"/>
    <w:rsid w:val="11C25F40"/>
    <w:rsid w:val="120C04A1"/>
    <w:rsid w:val="120D5CDC"/>
    <w:rsid w:val="12253181"/>
    <w:rsid w:val="12310F42"/>
    <w:rsid w:val="12907798"/>
    <w:rsid w:val="12F35799"/>
    <w:rsid w:val="12F63278"/>
    <w:rsid w:val="130C639F"/>
    <w:rsid w:val="13201B63"/>
    <w:rsid w:val="133A7878"/>
    <w:rsid w:val="134E0024"/>
    <w:rsid w:val="135235A0"/>
    <w:rsid w:val="13936475"/>
    <w:rsid w:val="13A5533C"/>
    <w:rsid w:val="13C63671"/>
    <w:rsid w:val="13E91DCC"/>
    <w:rsid w:val="13EE53CC"/>
    <w:rsid w:val="142C3DC2"/>
    <w:rsid w:val="142E4474"/>
    <w:rsid w:val="14C633DB"/>
    <w:rsid w:val="14CD1D1C"/>
    <w:rsid w:val="14CF200D"/>
    <w:rsid w:val="151A4FE0"/>
    <w:rsid w:val="158E7540"/>
    <w:rsid w:val="15D141F5"/>
    <w:rsid w:val="15E73092"/>
    <w:rsid w:val="15EA27C4"/>
    <w:rsid w:val="15F14DE1"/>
    <w:rsid w:val="15FE6EA8"/>
    <w:rsid w:val="16247A29"/>
    <w:rsid w:val="16312F51"/>
    <w:rsid w:val="1658234A"/>
    <w:rsid w:val="165D4630"/>
    <w:rsid w:val="16C41D30"/>
    <w:rsid w:val="16F562DE"/>
    <w:rsid w:val="16FF7BE0"/>
    <w:rsid w:val="171D208B"/>
    <w:rsid w:val="173A36C5"/>
    <w:rsid w:val="175829DF"/>
    <w:rsid w:val="177F6896"/>
    <w:rsid w:val="17C222F1"/>
    <w:rsid w:val="17CC4352"/>
    <w:rsid w:val="17E23B38"/>
    <w:rsid w:val="183E323B"/>
    <w:rsid w:val="18666368"/>
    <w:rsid w:val="18A505AD"/>
    <w:rsid w:val="18CB30FF"/>
    <w:rsid w:val="19251FFE"/>
    <w:rsid w:val="192E17CE"/>
    <w:rsid w:val="19532F55"/>
    <w:rsid w:val="19922D3C"/>
    <w:rsid w:val="199D19B9"/>
    <w:rsid w:val="19A423FE"/>
    <w:rsid w:val="1A0D4118"/>
    <w:rsid w:val="1A193048"/>
    <w:rsid w:val="1A527E6F"/>
    <w:rsid w:val="1A824D9B"/>
    <w:rsid w:val="1A860EEA"/>
    <w:rsid w:val="1A914DF1"/>
    <w:rsid w:val="1AA459F0"/>
    <w:rsid w:val="1AB045A6"/>
    <w:rsid w:val="1ACC4CA6"/>
    <w:rsid w:val="1B1A5DB9"/>
    <w:rsid w:val="1B1D576C"/>
    <w:rsid w:val="1B2B0F80"/>
    <w:rsid w:val="1B635CF6"/>
    <w:rsid w:val="1B875E6A"/>
    <w:rsid w:val="1BAF6838"/>
    <w:rsid w:val="1C0769EE"/>
    <w:rsid w:val="1C355237"/>
    <w:rsid w:val="1C38587E"/>
    <w:rsid w:val="1C443B5C"/>
    <w:rsid w:val="1C46501A"/>
    <w:rsid w:val="1C634BB0"/>
    <w:rsid w:val="1C762C3A"/>
    <w:rsid w:val="1C911014"/>
    <w:rsid w:val="1CD525D1"/>
    <w:rsid w:val="1D2A7B09"/>
    <w:rsid w:val="1D643F97"/>
    <w:rsid w:val="1DCA74A5"/>
    <w:rsid w:val="1E083FE1"/>
    <w:rsid w:val="1E3238A7"/>
    <w:rsid w:val="1E7004EE"/>
    <w:rsid w:val="1E7D30E2"/>
    <w:rsid w:val="1ED43B14"/>
    <w:rsid w:val="1F4D71B3"/>
    <w:rsid w:val="1F5467BF"/>
    <w:rsid w:val="1FA24AFF"/>
    <w:rsid w:val="1FB64C31"/>
    <w:rsid w:val="1FDD6878"/>
    <w:rsid w:val="1FE76599"/>
    <w:rsid w:val="201901BA"/>
    <w:rsid w:val="202C1D22"/>
    <w:rsid w:val="205556D5"/>
    <w:rsid w:val="20A50BD0"/>
    <w:rsid w:val="20ED55E9"/>
    <w:rsid w:val="21406222"/>
    <w:rsid w:val="21671140"/>
    <w:rsid w:val="21BB075C"/>
    <w:rsid w:val="21F56990"/>
    <w:rsid w:val="220E2A22"/>
    <w:rsid w:val="22520856"/>
    <w:rsid w:val="229339E5"/>
    <w:rsid w:val="22B01B42"/>
    <w:rsid w:val="23034D13"/>
    <w:rsid w:val="23110FBE"/>
    <w:rsid w:val="231B18DE"/>
    <w:rsid w:val="237E70E5"/>
    <w:rsid w:val="23B6207A"/>
    <w:rsid w:val="23FB7F40"/>
    <w:rsid w:val="23FD1DB7"/>
    <w:rsid w:val="24302010"/>
    <w:rsid w:val="2434556F"/>
    <w:rsid w:val="243E0490"/>
    <w:rsid w:val="24445512"/>
    <w:rsid w:val="24555FDE"/>
    <w:rsid w:val="245B4968"/>
    <w:rsid w:val="24651487"/>
    <w:rsid w:val="248B7EFA"/>
    <w:rsid w:val="257D6A25"/>
    <w:rsid w:val="25812941"/>
    <w:rsid w:val="259A25FD"/>
    <w:rsid w:val="259A5B9E"/>
    <w:rsid w:val="25E06140"/>
    <w:rsid w:val="25F42965"/>
    <w:rsid w:val="260D15D5"/>
    <w:rsid w:val="268E3861"/>
    <w:rsid w:val="269A7302"/>
    <w:rsid w:val="269C29FB"/>
    <w:rsid w:val="26AC1378"/>
    <w:rsid w:val="26C17CBC"/>
    <w:rsid w:val="26D55EA1"/>
    <w:rsid w:val="27131351"/>
    <w:rsid w:val="27515DDD"/>
    <w:rsid w:val="27713704"/>
    <w:rsid w:val="278565C8"/>
    <w:rsid w:val="27900617"/>
    <w:rsid w:val="27953DE5"/>
    <w:rsid w:val="27AC262B"/>
    <w:rsid w:val="27D957AE"/>
    <w:rsid w:val="28277067"/>
    <w:rsid w:val="28336EDA"/>
    <w:rsid w:val="28476D87"/>
    <w:rsid w:val="28AD6D5F"/>
    <w:rsid w:val="28B1264C"/>
    <w:rsid w:val="28C10F26"/>
    <w:rsid w:val="28ED36E3"/>
    <w:rsid w:val="28FB7276"/>
    <w:rsid w:val="29160097"/>
    <w:rsid w:val="29967874"/>
    <w:rsid w:val="29B57703"/>
    <w:rsid w:val="2A085F0E"/>
    <w:rsid w:val="2A1D19ED"/>
    <w:rsid w:val="2A2265C0"/>
    <w:rsid w:val="2A2E600F"/>
    <w:rsid w:val="2A5211FD"/>
    <w:rsid w:val="2AA4191A"/>
    <w:rsid w:val="2ABB4097"/>
    <w:rsid w:val="2AE31183"/>
    <w:rsid w:val="2B384232"/>
    <w:rsid w:val="2B565D49"/>
    <w:rsid w:val="2B9D76B4"/>
    <w:rsid w:val="2B9F5351"/>
    <w:rsid w:val="2BA97E72"/>
    <w:rsid w:val="2BAB5EDE"/>
    <w:rsid w:val="2BD545E1"/>
    <w:rsid w:val="2BE9365E"/>
    <w:rsid w:val="2BEF6008"/>
    <w:rsid w:val="2BF43C1A"/>
    <w:rsid w:val="2BFF36E3"/>
    <w:rsid w:val="2C01573B"/>
    <w:rsid w:val="2CAC7FC2"/>
    <w:rsid w:val="2CB549E7"/>
    <w:rsid w:val="2CCA26E9"/>
    <w:rsid w:val="2CD46831"/>
    <w:rsid w:val="2D1704DB"/>
    <w:rsid w:val="2D194A61"/>
    <w:rsid w:val="2D421E08"/>
    <w:rsid w:val="2D5F388A"/>
    <w:rsid w:val="2D6A22DE"/>
    <w:rsid w:val="2D7825D5"/>
    <w:rsid w:val="2D856650"/>
    <w:rsid w:val="2DDA660F"/>
    <w:rsid w:val="2DFD0795"/>
    <w:rsid w:val="2ED86A4C"/>
    <w:rsid w:val="2F1275A3"/>
    <w:rsid w:val="2F39431F"/>
    <w:rsid w:val="2F481817"/>
    <w:rsid w:val="2F7C098C"/>
    <w:rsid w:val="2F863EA5"/>
    <w:rsid w:val="2FA4644F"/>
    <w:rsid w:val="2FAC296A"/>
    <w:rsid w:val="2FBA0585"/>
    <w:rsid w:val="2FCF3AF5"/>
    <w:rsid w:val="30094C29"/>
    <w:rsid w:val="303E2B48"/>
    <w:rsid w:val="30663A96"/>
    <w:rsid w:val="309028FB"/>
    <w:rsid w:val="309545F4"/>
    <w:rsid w:val="30E00D43"/>
    <w:rsid w:val="30E53CB5"/>
    <w:rsid w:val="30EA4E23"/>
    <w:rsid w:val="312D30CE"/>
    <w:rsid w:val="313B7585"/>
    <w:rsid w:val="31601091"/>
    <w:rsid w:val="31824A34"/>
    <w:rsid w:val="31B32927"/>
    <w:rsid w:val="31C32079"/>
    <w:rsid w:val="32307D35"/>
    <w:rsid w:val="32374C0C"/>
    <w:rsid w:val="325664E5"/>
    <w:rsid w:val="326A71D8"/>
    <w:rsid w:val="32E6197C"/>
    <w:rsid w:val="32EE6650"/>
    <w:rsid w:val="332E1C4F"/>
    <w:rsid w:val="334F5FC8"/>
    <w:rsid w:val="3364549D"/>
    <w:rsid w:val="33852030"/>
    <w:rsid w:val="33AB2EB0"/>
    <w:rsid w:val="33DB69AC"/>
    <w:rsid w:val="33FE4E3B"/>
    <w:rsid w:val="33FE6643"/>
    <w:rsid w:val="3401098E"/>
    <w:rsid w:val="340A2F7E"/>
    <w:rsid w:val="34192684"/>
    <w:rsid w:val="344737EE"/>
    <w:rsid w:val="34774262"/>
    <w:rsid w:val="34AC3B06"/>
    <w:rsid w:val="34B46B4E"/>
    <w:rsid w:val="34C10EB6"/>
    <w:rsid w:val="34C3674A"/>
    <w:rsid w:val="34CB4F54"/>
    <w:rsid w:val="34E91D2D"/>
    <w:rsid w:val="355A6BF1"/>
    <w:rsid w:val="358745B9"/>
    <w:rsid w:val="359B4DA9"/>
    <w:rsid w:val="35D315A9"/>
    <w:rsid w:val="360F4A65"/>
    <w:rsid w:val="362250AD"/>
    <w:rsid w:val="36367C34"/>
    <w:rsid w:val="363A64C6"/>
    <w:rsid w:val="364B179E"/>
    <w:rsid w:val="36661AAB"/>
    <w:rsid w:val="36905720"/>
    <w:rsid w:val="36BB3140"/>
    <w:rsid w:val="36C97DF0"/>
    <w:rsid w:val="36D16D6A"/>
    <w:rsid w:val="36D33FE7"/>
    <w:rsid w:val="36D55429"/>
    <w:rsid w:val="36E85B28"/>
    <w:rsid w:val="36F45734"/>
    <w:rsid w:val="3720220C"/>
    <w:rsid w:val="372158B9"/>
    <w:rsid w:val="373C40D3"/>
    <w:rsid w:val="37431BBA"/>
    <w:rsid w:val="3746649E"/>
    <w:rsid w:val="37602681"/>
    <w:rsid w:val="37C91AC2"/>
    <w:rsid w:val="37DA1D1C"/>
    <w:rsid w:val="37F82DAB"/>
    <w:rsid w:val="384C5426"/>
    <w:rsid w:val="38793E94"/>
    <w:rsid w:val="389244F6"/>
    <w:rsid w:val="38933D40"/>
    <w:rsid w:val="38B970BC"/>
    <w:rsid w:val="38BE568C"/>
    <w:rsid w:val="38C163A2"/>
    <w:rsid w:val="38D14F3B"/>
    <w:rsid w:val="38D15BDE"/>
    <w:rsid w:val="38ED0E18"/>
    <w:rsid w:val="394A7199"/>
    <w:rsid w:val="394B0EB8"/>
    <w:rsid w:val="395F41F5"/>
    <w:rsid w:val="39AC3B3E"/>
    <w:rsid w:val="39B37291"/>
    <w:rsid w:val="39BC42C4"/>
    <w:rsid w:val="3A1625E5"/>
    <w:rsid w:val="3A502599"/>
    <w:rsid w:val="3A5C18C9"/>
    <w:rsid w:val="3AB003E9"/>
    <w:rsid w:val="3AC945CC"/>
    <w:rsid w:val="3AD833EB"/>
    <w:rsid w:val="3AF00AE9"/>
    <w:rsid w:val="3B86234C"/>
    <w:rsid w:val="3B8F2CE5"/>
    <w:rsid w:val="3B8F7B5A"/>
    <w:rsid w:val="3B91161A"/>
    <w:rsid w:val="3BAB3C51"/>
    <w:rsid w:val="3BAB6854"/>
    <w:rsid w:val="3BBC6084"/>
    <w:rsid w:val="3BCF46EB"/>
    <w:rsid w:val="3BF8245C"/>
    <w:rsid w:val="3C38649A"/>
    <w:rsid w:val="3C4C5EC5"/>
    <w:rsid w:val="3C5160F7"/>
    <w:rsid w:val="3C795455"/>
    <w:rsid w:val="3C7C3295"/>
    <w:rsid w:val="3CBD1F48"/>
    <w:rsid w:val="3CC527A7"/>
    <w:rsid w:val="3CCF558B"/>
    <w:rsid w:val="3CFA1AB1"/>
    <w:rsid w:val="3CFC1A73"/>
    <w:rsid w:val="3D0F6390"/>
    <w:rsid w:val="3D7803CC"/>
    <w:rsid w:val="3D802866"/>
    <w:rsid w:val="3D9330F5"/>
    <w:rsid w:val="3DB54E34"/>
    <w:rsid w:val="3DC01064"/>
    <w:rsid w:val="3DE5293A"/>
    <w:rsid w:val="3DF32C7F"/>
    <w:rsid w:val="3E5603F8"/>
    <w:rsid w:val="3E8C63BE"/>
    <w:rsid w:val="3E9D59C8"/>
    <w:rsid w:val="3EB07079"/>
    <w:rsid w:val="3EC045DE"/>
    <w:rsid w:val="3F087718"/>
    <w:rsid w:val="3F537EA9"/>
    <w:rsid w:val="3F5B725D"/>
    <w:rsid w:val="3F7D3706"/>
    <w:rsid w:val="3FBE1BCD"/>
    <w:rsid w:val="3FC62032"/>
    <w:rsid w:val="3FD57785"/>
    <w:rsid w:val="3FF4181B"/>
    <w:rsid w:val="400609D3"/>
    <w:rsid w:val="4028573F"/>
    <w:rsid w:val="402F7BC8"/>
    <w:rsid w:val="405D3771"/>
    <w:rsid w:val="4065436F"/>
    <w:rsid w:val="40892600"/>
    <w:rsid w:val="409D7FB9"/>
    <w:rsid w:val="40C34A8B"/>
    <w:rsid w:val="40E36A3B"/>
    <w:rsid w:val="4107075F"/>
    <w:rsid w:val="41074799"/>
    <w:rsid w:val="41155C54"/>
    <w:rsid w:val="415F3563"/>
    <w:rsid w:val="416969E0"/>
    <w:rsid w:val="418F1077"/>
    <w:rsid w:val="4191592D"/>
    <w:rsid w:val="41BF47DF"/>
    <w:rsid w:val="41FE6D08"/>
    <w:rsid w:val="422D7FBF"/>
    <w:rsid w:val="42404495"/>
    <w:rsid w:val="42C336F0"/>
    <w:rsid w:val="42EC366A"/>
    <w:rsid w:val="431B0524"/>
    <w:rsid w:val="431C70E5"/>
    <w:rsid w:val="43435855"/>
    <w:rsid w:val="43527969"/>
    <w:rsid w:val="43943E4F"/>
    <w:rsid w:val="43B9417D"/>
    <w:rsid w:val="43DC26C4"/>
    <w:rsid w:val="43F46B60"/>
    <w:rsid w:val="43F67A27"/>
    <w:rsid w:val="43FC2EA6"/>
    <w:rsid w:val="44792600"/>
    <w:rsid w:val="44B1126E"/>
    <w:rsid w:val="44F07C6C"/>
    <w:rsid w:val="44FD1046"/>
    <w:rsid w:val="450A0793"/>
    <w:rsid w:val="450C54C6"/>
    <w:rsid w:val="452B1AB8"/>
    <w:rsid w:val="45416508"/>
    <w:rsid w:val="45A81535"/>
    <w:rsid w:val="45B73C3D"/>
    <w:rsid w:val="45D626DC"/>
    <w:rsid w:val="46443140"/>
    <w:rsid w:val="464A0502"/>
    <w:rsid w:val="465F68C3"/>
    <w:rsid w:val="46600610"/>
    <w:rsid w:val="46782A86"/>
    <w:rsid w:val="46831F46"/>
    <w:rsid w:val="46954197"/>
    <w:rsid w:val="46BE56F0"/>
    <w:rsid w:val="46EB2DD3"/>
    <w:rsid w:val="47173352"/>
    <w:rsid w:val="4746494F"/>
    <w:rsid w:val="4759016D"/>
    <w:rsid w:val="47B17A40"/>
    <w:rsid w:val="47CD0DE6"/>
    <w:rsid w:val="480055DD"/>
    <w:rsid w:val="48090A02"/>
    <w:rsid w:val="48692175"/>
    <w:rsid w:val="48735FE8"/>
    <w:rsid w:val="48761B3E"/>
    <w:rsid w:val="48B63A96"/>
    <w:rsid w:val="48C0308F"/>
    <w:rsid w:val="48CE43C4"/>
    <w:rsid w:val="48DD07B3"/>
    <w:rsid w:val="48EA3566"/>
    <w:rsid w:val="48EC5C7F"/>
    <w:rsid w:val="48EF624E"/>
    <w:rsid w:val="491124BA"/>
    <w:rsid w:val="49631C3B"/>
    <w:rsid w:val="496C52F1"/>
    <w:rsid w:val="49726C4B"/>
    <w:rsid w:val="49E6600F"/>
    <w:rsid w:val="49E95C8B"/>
    <w:rsid w:val="4A0E5569"/>
    <w:rsid w:val="4A663BF8"/>
    <w:rsid w:val="4A663CEB"/>
    <w:rsid w:val="4A8522E6"/>
    <w:rsid w:val="4A8D347F"/>
    <w:rsid w:val="4AB25CB4"/>
    <w:rsid w:val="4AC328A5"/>
    <w:rsid w:val="4B2F0B1C"/>
    <w:rsid w:val="4B3F2B0E"/>
    <w:rsid w:val="4BE4469B"/>
    <w:rsid w:val="4BE57FD5"/>
    <w:rsid w:val="4BE954BE"/>
    <w:rsid w:val="4C5234C7"/>
    <w:rsid w:val="4C703214"/>
    <w:rsid w:val="4C8F1369"/>
    <w:rsid w:val="4CA95324"/>
    <w:rsid w:val="4CAB3563"/>
    <w:rsid w:val="4CBA344B"/>
    <w:rsid w:val="4D267404"/>
    <w:rsid w:val="4D6A37D7"/>
    <w:rsid w:val="4D9F47CF"/>
    <w:rsid w:val="4DAD7F31"/>
    <w:rsid w:val="4DAF5D59"/>
    <w:rsid w:val="4DC67ED0"/>
    <w:rsid w:val="4DCD26BD"/>
    <w:rsid w:val="4E1A48D0"/>
    <w:rsid w:val="4E3D6861"/>
    <w:rsid w:val="4E494E1F"/>
    <w:rsid w:val="4EB9026E"/>
    <w:rsid w:val="4EC43FF6"/>
    <w:rsid w:val="4EE06191"/>
    <w:rsid w:val="4F075533"/>
    <w:rsid w:val="4F1C59B4"/>
    <w:rsid w:val="4F284E5D"/>
    <w:rsid w:val="4F330289"/>
    <w:rsid w:val="4F905D19"/>
    <w:rsid w:val="4FA27FF9"/>
    <w:rsid w:val="501C70E7"/>
    <w:rsid w:val="505B26DA"/>
    <w:rsid w:val="50635635"/>
    <w:rsid w:val="50676304"/>
    <w:rsid w:val="506B1693"/>
    <w:rsid w:val="507F7546"/>
    <w:rsid w:val="5088514B"/>
    <w:rsid w:val="50ED2EA8"/>
    <w:rsid w:val="51106769"/>
    <w:rsid w:val="51615297"/>
    <w:rsid w:val="51EE38F3"/>
    <w:rsid w:val="51F6479D"/>
    <w:rsid w:val="522272C9"/>
    <w:rsid w:val="523C791A"/>
    <w:rsid w:val="52424E72"/>
    <w:rsid w:val="525976A5"/>
    <w:rsid w:val="526A77B5"/>
    <w:rsid w:val="52B43D0D"/>
    <w:rsid w:val="52DD6863"/>
    <w:rsid w:val="53041D55"/>
    <w:rsid w:val="53070FBF"/>
    <w:rsid w:val="53107D4E"/>
    <w:rsid w:val="537572F4"/>
    <w:rsid w:val="53AB0E17"/>
    <w:rsid w:val="540B6A18"/>
    <w:rsid w:val="540E4578"/>
    <w:rsid w:val="546A7783"/>
    <w:rsid w:val="546B0896"/>
    <w:rsid w:val="54817E78"/>
    <w:rsid w:val="54A6325C"/>
    <w:rsid w:val="54F01909"/>
    <w:rsid w:val="551E1936"/>
    <w:rsid w:val="55414451"/>
    <w:rsid w:val="554A540A"/>
    <w:rsid w:val="554F677C"/>
    <w:rsid w:val="55912EE1"/>
    <w:rsid w:val="559F2FF0"/>
    <w:rsid w:val="55A7041D"/>
    <w:rsid w:val="55B16AF5"/>
    <w:rsid w:val="55EA3101"/>
    <w:rsid w:val="56032E1B"/>
    <w:rsid w:val="560C328F"/>
    <w:rsid w:val="56285F5B"/>
    <w:rsid w:val="565F2064"/>
    <w:rsid w:val="568F59BF"/>
    <w:rsid w:val="570A79B1"/>
    <w:rsid w:val="572E24C2"/>
    <w:rsid w:val="572F066A"/>
    <w:rsid w:val="575F0548"/>
    <w:rsid w:val="57962F77"/>
    <w:rsid w:val="583E5739"/>
    <w:rsid w:val="584644E3"/>
    <w:rsid w:val="58684BAA"/>
    <w:rsid w:val="5879666D"/>
    <w:rsid w:val="587D78B9"/>
    <w:rsid w:val="58914C3B"/>
    <w:rsid w:val="58AD162B"/>
    <w:rsid w:val="58C82CD7"/>
    <w:rsid w:val="58F71FA9"/>
    <w:rsid w:val="5912260B"/>
    <w:rsid w:val="59481C51"/>
    <w:rsid w:val="5966438B"/>
    <w:rsid w:val="59D37C6F"/>
    <w:rsid w:val="5A5B72D5"/>
    <w:rsid w:val="5A6734B4"/>
    <w:rsid w:val="5A7A29BF"/>
    <w:rsid w:val="5ACB7BA4"/>
    <w:rsid w:val="5ACD0B0A"/>
    <w:rsid w:val="5AD53509"/>
    <w:rsid w:val="5AEB107B"/>
    <w:rsid w:val="5B2D5E42"/>
    <w:rsid w:val="5B542157"/>
    <w:rsid w:val="5BA0539E"/>
    <w:rsid w:val="5BA709F3"/>
    <w:rsid w:val="5BC314B5"/>
    <w:rsid w:val="5BDC6C4B"/>
    <w:rsid w:val="5BE07211"/>
    <w:rsid w:val="5C055B3E"/>
    <w:rsid w:val="5C112320"/>
    <w:rsid w:val="5C1B6552"/>
    <w:rsid w:val="5C2D377E"/>
    <w:rsid w:val="5C403B65"/>
    <w:rsid w:val="5C66645A"/>
    <w:rsid w:val="5C862187"/>
    <w:rsid w:val="5C892C8A"/>
    <w:rsid w:val="5CE85CF9"/>
    <w:rsid w:val="5D311CFD"/>
    <w:rsid w:val="5D386261"/>
    <w:rsid w:val="5D4C49B0"/>
    <w:rsid w:val="5D554490"/>
    <w:rsid w:val="5DB325DB"/>
    <w:rsid w:val="5E944397"/>
    <w:rsid w:val="5EB54623"/>
    <w:rsid w:val="5EDD0E62"/>
    <w:rsid w:val="5EEB4A18"/>
    <w:rsid w:val="5F2779A7"/>
    <w:rsid w:val="5F344258"/>
    <w:rsid w:val="5F4B2085"/>
    <w:rsid w:val="5F6348D6"/>
    <w:rsid w:val="5F703EAF"/>
    <w:rsid w:val="5F9201DF"/>
    <w:rsid w:val="5F9D12B1"/>
    <w:rsid w:val="5FCB4721"/>
    <w:rsid w:val="5FE467F9"/>
    <w:rsid w:val="602704FB"/>
    <w:rsid w:val="6045130F"/>
    <w:rsid w:val="607676FB"/>
    <w:rsid w:val="607B59B8"/>
    <w:rsid w:val="609B4FF2"/>
    <w:rsid w:val="60AD5405"/>
    <w:rsid w:val="60E6493B"/>
    <w:rsid w:val="61237BD7"/>
    <w:rsid w:val="612F52C2"/>
    <w:rsid w:val="61972E81"/>
    <w:rsid w:val="61976FC2"/>
    <w:rsid w:val="61997769"/>
    <w:rsid w:val="61A02C48"/>
    <w:rsid w:val="61AC4543"/>
    <w:rsid w:val="61AE31FB"/>
    <w:rsid w:val="61CC5000"/>
    <w:rsid w:val="61E27ED6"/>
    <w:rsid w:val="61EB1058"/>
    <w:rsid w:val="61F761A9"/>
    <w:rsid w:val="62356AE0"/>
    <w:rsid w:val="624B3C3B"/>
    <w:rsid w:val="626310BD"/>
    <w:rsid w:val="628E6D2C"/>
    <w:rsid w:val="629951C8"/>
    <w:rsid w:val="62B75ABC"/>
    <w:rsid w:val="62BB4279"/>
    <w:rsid w:val="62CF52C3"/>
    <w:rsid w:val="62D409E0"/>
    <w:rsid w:val="62F2117F"/>
    <w:rsid w:val="6420374A"/>
    <w:rsid w:val="646A6162"/>
    <w:rsid w:val="64892895"/>
    <w:rsid w:val="648F5CCC"/>
    <w:rsid w:val="649F661B"/>
    <w:rsid w:val="64E96EDB"/>
    <w:rsid w:val="652D30A4"/>
    <w:rsid w:val="65300004"/>
    <w:rsid w:val="65496AFB"/>
    <w:rsid w:val="658226B8"/>
    <w:rsid w:val="65A64252"/>
    <w:rsid w:val="65AC3FAD"/>
    <w:rsid w:val="65B62B1A"/>
    <w:rsid w:val="65B87C6C"/>
    <w:rsid w:val="65CA0E60"/>
    <w:rsid w:val="65F2482C"/>
    <w:rsid w:val="662173B9"/>
    <w:rsid w:val="662D4817"/>
    <w:rsid w:val="66322643"/>
    <w:rsid w:val="663A05B0"/>
    <w:rsid w:val="66760746"/>
    <w:rsid w:val="668B0B7F"/>
    <w:rsid w:val="66D958D0"/>
    <w:rsid w:val="66E46DFA"/>
    <w:rsid w:val="66EC21F5"/>
    <w:rsid w:val="66FF690F"/>
    <w:rsid w:val="67037272"/>
    <w:rsid w:val="67232E4B"/>
    <w:rsid w:val="67430651"/>
    <w:rsid w:val="675741BA"/>
    <w:rsid w:val="676D124B"/>
    <w:rsid w:val="67962DED"/>
    <w:rsid w:val="67A62FC1"/>
    <w:rsid w:val="67AA56E9"/>
    <w:rsid w:val="67E6377A"/>
    <w:rsid w:val="68110CD0"/>
    <w:rsid w:val="68195DC7"/>
    <w:rsid w:val="68246C84"/>
    <w:rsid w:val="682C704C"/>
    <w:rsid w:val="683B5FB0"/>
    <w:rsid w:val="68702923"/>
    <w:rsid w:val="688E7BAD"/>
    <w:rsid w:val="68B43B6E"/>
    <w:rsid w:val="68C0074F"/>
    <w:rsid w:val="69356012"/>
    <w:rsid w:val="69422F18"/>
    <w:rsid w:val="694F42D8"/>
    <w:rsid w:val="69510600"/>
    <w:rsid w:val="695C7ABD"/>
    <w:rsid w:val="696179BF"/>
    <w:rsid w:val="6966013F"/>
    <w:rsid w:val="697A454A"/>
    <w:rsid w:val="69A91F03"/>
    <w:rsid w:val="69AB3E9F"/>
    <w:rsid w:val="69CE0BAC"/>
    <w:rsid w:val="6A123DF6"/>
    <w:rsid w:val="6A273CA6"/>
    <w:rsid w:val="6A40454C"/>
    <w:rsid w:val="6AC113A0"/>
    <w:rsid w:val="6AD94E16"/>
    <w:rsid w:val="6AEF0A77"/>
    <w:rsid w:val="6B165FD6"/>
    <w:rsid w:val="6B2833F5"/>
    <w:rsid w:val="6B3E6B30"/>
    <w:rsid w:val="6B4A491E"/>
    <w:rsid w:val="6B573A94"/>
    <w:rsid w:val="6B78381C"/>
    <w:rsid w:val="6BA91041"/>
    <w:rsid w:val="6BB650DB"/>
    <w:rsid w:val="6BD80941"/>
    <w:rsid w:val="6C0023A4"/>
    <w:rsid w:val="6C452A76"/>
    <w:rsid w:val="6C5F02E7"/>
    <w:rsid w:val="6C6313B0"/>
    <w:rsid w:val="6CAA2314"/>
    <w:rsid w:val="6CD10C1E"/>
    <w:rsid w:val="6D5153EE"/>
    <w:rsid w:val="6DAC03C6"/>
    <w:rsid w:val="6DB92ACC"/>
    <w:rsid w:val="6DD91D69"/>
    <w:rsid w:val="6DE03A32"/>
    <w:rsid w:val="6DF41CDF"/>
    <w:rsid w:val="6E5D2D7D"/>
    <w:rsid w:val="6E6A1E47"/>
    <w:rsid w:val="6E9B2EDC"/>
    <w:rsid w:val="6EBC4E08"/>
    <w:rsid w:val="6EE72A86"/>
    <w:rsid w:val="6EEC3C30"/>
    <w:rsid w:val="6F2E3144"/>
    <w:rsid w:val="6FA77BFD"/>
    <w:rsid w:val="6FC32BC8"/>
    <w:rsid w:val="6FCC012B"/>
    <w:rsid w:val="700921A2"/>
    <w:rsid w:val="701F1B73"/>
    <w:rsid w:val="70412F14"/>
    <w:rsid w:val="705B7D26"/>
    <w:rsid w:val="70A02A4C"/>
    <w:rsid w:val="714442DA"/>
    <w:rsid w:val="7154751E"/>
    <w:rsid w:val="71622339"/>
    <w:rsid w:val="71B06FD9"/>
    <w:rsid w:val="71C72272"/>
    <w:rsid w:val="71D12664"/>
    <w:rsid w:val="720836DF"/>
    <w:rsid w:val="723242CA"/>
    <w:rsid w:val="72647F9A"/>
    <w:rsid w:val="726857F5"/>
    <w:rsid w:val="72862669"/>
    <w:rsid w:val="72906993"/>
    <w:rsid w:val="730F0F22"/>
    <w:rsid w:val="73410B33"/>
    <w:rsid w:val="734D2C90"/>
    <w:rsid w:val="734D7102"/>
    <w:rsid w:val="73F556C3"/>
    <w:rsid w:val="740C7089"/>
    <w:rsid w:val="740D1510"/>
    <w:rsid w:val="74212203"/>
    <w:rsid w:val="74407ADD"/>
    <w:rsid w:val="74452E48"/>
    <w:rsid w:val="74B0134F"/>
    <w:rsid w:val="74D87F25"/>
    <w:rsid w:val="74FE38E3"/>
    <w:rsid w:val="752D298E"/>
    <w:rsid w:val="7561553D"/>
    <w:rsid w:val="75781BCC"/>
    <w:rsid w:val="75796986"/>
    <w:rsid w:val="75876D5D"/>
    <w:rsid w:val="75955D10"/>
    <w:rsid w:val="75B6651C"/>
    <w:rsid w:val="75BA4EAE"/>
    <w:rsid w:val="75D30A53"/>
    <w:rsid w:val="760730BC"/>
    <w:rsid w:val="761B6050"/>
    <w:rsid w:val="761D63EB"/>
    <w:rsid w:val="76353C59"/>
    <w:rsid w:val="763F6EBB"/>
    <w:rsid w:val="766850FF"/>
    <w:rsid w:val="769F29F1"/>
    <w:rsid w:val="76EF657B"/>
    <w:rsid w:val="77516321"/>
    <w:rsid w:val="7779484E"/>
    <w:rsid w:val="77951316"/>
    <w:rsid w:val="77F10205"/>
    <w:rsid w:val="77FC5F36"/>
    <w:rsid w:val="784310F1"/>
    <w:rsid w:val="78494446"/>
    <w:rsid w:val="78712A8D"/>
    <w:rsid w:val="787F0F6B"/>
    <w:rsid w:val="79197C93"/>
    <w:rsid w:val="7928618E"/>
    <w:rsid w:val="79B14125"/>
    <w:rsid w:val="79FD6149"/>
    <w:rsid w:val="7A121706"/>
    <w:rsid w:val="7A22208C"/>
    <w:rsid w:val="7A8B10EA"/>
    <w:rsid w:val="7AA346F4"/>
    <w:rsid w:val="7ACC2349"/>
    <w:rsid w:val="7B0425FF"/>
    <w:rsid w:val="7B2025F8"/>
    <w:rsid w:val="7B693F2D"/>
    <w:rsid w:val="7B770285"/>
    <w:rsid w:val="7B9E405D"/>
    <w:rsid w:val="7BAC512E"/>
    <w:rsid w:val="7BDF3657"/>
    <w:rsid w:val="7C5315BF"/>
    <w:rsid w:val="7C862647"/>
    <w:rsid w:val="7CA45148"/>
    <w:rsid w:val="7CB27DF2"/>
    <w:rsid w:val="7D064397"/>
    <w:rsid w:val="7D090E3A"/>
    <w:rsid w:val="7D15045A"/>
    <w:rsid w:val="7D4C42CC"/>
    <w:rsid w:val="7D5A668F"/>
    <w:rsid w:val="7D9419D9"/>
    <w:rsid w:val="7D9B20B9"/>
    <w:rsid w:val="7E0E7421"/>
    <w:rsid w:val="7E0F6B71"/>
    <w:rsid w:val="7E1A5A85"/>
    <w:rsid w:val="7E1B1E81"/>
    <w:rsid w:val="7E480185"/>
    <w:rsid w:val="7E5149CD"/>
    <w:rsid w:val="7E81774C"/>
    <w:rsid w:val="7E8A659C"/>
    <w:rsid w:val="7E8E6293"/>
    <w:rsid w:val="7EBE5BCB"/>
    <w:rsid w:val="7F37063A"/>
    <w:rsid w:val="7F73144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rFonts w:eastAsia="黑体" w:asciiTheme="minorAscii" w:hAnsiTheme="minorAscii"/>
      <w:kern w:val="44"/>
      <w:sz w:val="30"/>
    </w:rPr>
  </w:style>
  <w:style w:type="character" w:default="1" w:styleId="13">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3">
    <w:name w:val="Body Text Indent"/>
    <w:basedOn w:val="1"/>
    <w:qFormat/>
    <w:uiPriority w:val="0"/>
    <w:pPr>
      <w:spacing w:line="360" w:lineRule="exact"/>
      <w:ind w:firstLine="560" w:firstLineChars="200"/>
    </w:pPr>
    <w:rPr>
      <w:rFonts w:ascii="仿宋_GB2312" w:eastAsia="仿宋_GB2312"/>
      <w:color w:val="000000"/>
      <w:sz w:val="28"/>
      <w:szCs w:val="32"/>
    </w:rPr>
  </w:style>
  <w:style w:type="paragraph" w:styleId="4">
    <w:name w:val="Body Text Indent 2"/>
    <w:basedOn w:val="1"/>
    <w:qFormat/>
    <w:uiPriority w:val="0"/>
    <w:pPr>
      <w:spacing w:after="120" w:line="480" w:lineRule="auto"/>
      <w:ind w:left="420" w:leftChars="200"/>
    </w:pPr>
    <w:rPr>
      <w:rFonts w:ascii="Times New Roman" w:hAnsi="Times New Roman" w:eastAsia="宋体" w:cs="Times New Roman"/>
      <w:szCs w:val="20"/>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1"/>
    <w:basedOn w:val="1"/>
    <w:next w:val="1"/>
    <w:qFormat/>
    <w:uiPriority w:val="0"/>
  </w:style>
  <w:style w:type="paragraph" w:styleId="8">
    <w:name w:val="Body Text Indent 3"/>
    <w:basedOn w:val="1"/>
    <w:qFormat/>
    <w:uiPriority w:val="0"/>
    <w:pPr>
      <w:spacing w:line="560" w:lineRule="atLeast"/>
      <w:ind w:firstLine="560" w:firstLineChars="200"/>
    </w:pPr>
    <w:rPr>
      <w:rFonts w:hint="eastAsia" w:ascii="仿宋_GB2312" w:eastAsia="仿宋_GB2312"/>
      <w:sz w:val="28"/>
    </w:rPr>
  </w:style>
  <w:style w:type="paragraph" w:styleId="9">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10">
    <w:name w:val="Title"/>
    <w:basedOn w:val="1"/>
    <w:next w:val="1"/>
    <w:qFormat/>
    <w:uiPriority w:val="0"/>
    <w:pPr>
      <w:spacing w:before="240" w:after="60"/>
      <w:jc w:val="center"/>
      <w:outlineLvl w:val="0"/>
    </w:pPr>
    <w:rPr>
      <w:rFonts w:ascii="Cambria" w:hAnsi="Cambria" w:cs="Times New Roman"/>
      <w:b/>
      <w:bCs/>
      <w:sz w:val="32"/>
      <w:szCs w:val="32"/>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4">
    <w:name w:val="page number"/>
    <w:basedOn w:val="13"/>
    <w:qFormat/>
    <w:uiPriority w:val="0"/>
  </w:style>
  <w:style w:type="paragraph" w:styleId="15">
    <w:name w:val="List Paragraph"/>
    <w:basedOn w:val="1"/>
    <w:qFormat/>
    <w:uiPriority w:val="34"/>
    <w:pPr>
      <w:widowControl/>
      <w:spacing w:before="100" w:beforeAutospacing="1" w:after="100" w:afterAutospacing="1"/>
      <w:jc w:val="left"/>
    </w:pPr>
    <w:rPr>
      <w:rFonts w:ascii="宋体" w:hAnsi="宋体" w:eastAsia="宋体" w:cs="宋体"/>
      <w:kern w:val="0"/>
      <w:sz w:val="24"/>
      <w:szCs w:val="24"/>
    </w:rPr>
  </w:style>
  <w:style w:type="paragraph" w:customStyle="1" w:styleId="16">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17">
    <w:name w:val="缺省文本"/>
    <w:basedOn w:val="1"/>
    <w:qFormat/>
    <w:uiPriority w:val="0"/>
    <w:rPr>
      <w:sz w:val="24"/>
      <w:szCs w:val="24"/>
    </w:rPr>
  </w:style>
  <w:style w:type="paragraph" w:customStyle="1" w:styleId="18">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77</Pages>
  <Words>31869</Words>
  <Characters>32954</Characters>
  <Lines>0</Lines>
  <Paragraphs>0</Paragraphs>
  <TotalTime>3</TotalTime>
  <ScaleCrop>false</ScaleCrop>
  <LinksUpToDate>false</LinksUpToDate>
  <CharactersWithSpaces>36753</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2018-09-28T06:29:00Z</dcterms:created>
  <dc:creator>lenovo</dc:creator>
  <cp:lastModifiedBy>飞鱼</cp:lastModifiedBy>
  <dcterms:modified xsi:type="dcterms:W3CDTF">2019-09-26T06:30:46Z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