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0" w:afterAutospacing="0"/>
        <w:ind w:left="0" w:right="0" w:firstLine="0"/>
        <w:jc w:val="center"/>
        <w:rPr>
          <w:rFonts w:ascii="华文仿宋" w:hAnsi="华文仿宋" w:eastAsia="华文仿宋" w:cs="华文仿宋"/>
          <w:b/>
          <w:bCs/>
          <w:i w:val="0"/>
          <w:iCs w:val="0"/>
          <w:caps w:val="0"/>
          <w:color w:val="333333"/>
          <w:spacing w:val="0"/>
          <w:sz w:val="32"/>
          <w:szCs w:val="32"/>
          <w:shd w:val="clear" w:fill="FFFFFF"/>
        </w:rPr>
      </w:pPr>
      <w:r>
        <w:rPr>
          <w:rFonts w:ascii="华文仿宋" w:hAnsi="华文仿宋" w:eastAsia="华文仿宋" w:cs="华文仿宋"/>
          <w:b/>
          <w:bCs/>
          <w:i w:val="0"/>
          <w:iCs w:val="0"/>
          <w:caps w:val="0"/>
          <w:color w:val="333333"/>
          <w:spacing w:val="0"/>
          <w:sz w:val="32"/>
          <w:szCs w:val="32"/>
          <w:shd w:val="clear" w:fill="FFFFFF"/>
        </w:rPr>
        <w:t>“华为杯”第五届中国研究生人工智能创新大赛赛题</w:t>
      </w:r>
    </w:p>
    <w:p>
      <w:pPr>
        <w:pStyle w:val="3"/>
        <w:keepNext w:val="0"/>
        <w:keepLines w:val="0"/>
        <w:widowControl/>
        <w:suppressLineNumbers w:val="0"/>
        <w:shd w:val="clear" w:fill="FFFFFF"/>
        <w:spacing w:before="0" w:beforeAutospacing="0" w:after="0" w:afterAutospacing="0"/>
        <w:ind w:left="0" w:right="0" w:firstLine="0"/>
        <w:jc w:val="both"/>
        <w:rPr>
          <w:rFonts w:ascii="微软雅黑" w:hAnsi="微软雅黑" w:eastAsia="微软雅黑" w:cs="微软雅黑"/>
          <w:i w:val="0"/>
          <w:iCs w:val="0"/>
          <w:caps w:val="0"/>
          <w:color w:val="333333"/>
          <w:spacing w:val="0"/>
          <w:sz w:val="12"/>
          <w:szCs w:val="12"/>
        </w:rPr>
      </w:pPr>
      <w:r>
        <w:rPr>
          <w:rFonts w:ascii="华文仿宋" w:hAnsi="华文仿宋" w:eastAsia="华文仿宋" w:cs="华文仿宋"/>
          <w:b/>
          <w:bCs/>
          <w:i w:val="0"/>
          <w:iCs w:val="0"/>
          <w:caps w:val="0"/>
          <w:color w:val="333333"/>
          <w:spacing w:val="0"/>
          <w:sz w:val="32"/>
          <w:szCs w:val="32"/>
          <w:shd w:val="clear" w:fill="FFFFFF"/>
        </w:rPr>
        <w:t>一、报名及提交作品要求</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参赛队伍在以下赛题中任选其一进行作品创作参赛。7月</w:t>
      </w:r>
      <w:r>
        <w:rPr>
          <w:rFonts w:hint="eastAsia" w:ascii="华文仿宋" w:hAnsi="华文仿宋" w:eastAsia="华文仿宋" w:cs="华文仿宋"/>
          <w:i w:val="0"/>
          <w:iCs w:val="0"/>
          <w:caps w:val="0"/>
          <w:color w:val="333333"/>
          <w:spacing w:val="0"/>
          <w:sz w:val="32"/>
          <w:szCs w:val="32"/>
          <w:shd w:val="clear" w:fill="FFFFFF"/>
          <w:lang w:val="en-US" w:eastAsia="zh-CN"/>
        </w:rPr>
        <w:t>23</w:t>
      </w:r>
      <w:r>
        <w:rPr>
          <w:rFonts w:hint="eastAsia" w:ascii="华文仿宋" w:hAnsi="华文仿宋" w:eastAsia="华文仿宋" w:cs="华文仿宋"/>
          <w:i w:val="0"/>
          <w:iCs w:val="0"/>
          <w:caps w:val="0"/>
          <w:color w:val="333333"/>
          <w:spacing w:val="0"/>
          <w:sz w:val="32"/>
          <w:szCs w:val="32"/>
          <w:shd w:val="clear" w:fill="FFFFFF"/>
        </w:rPr>
        <w:t>日前，在大赛官网报名，通过培养单位资格审查后，</w:t>
      </w:r>
      <w:r>
        <w:rPr>
          <w:rFonts w:hint="eastAsia" w:ascii="华文仿宋" w:hAnsi="华文仿宋" w:eastAsia="华文仿宋" w:cs="华文仿宋"/>
          <w:i w:val="0"/>
          <w:iCs w:val="0"/>
          <w:caps w:val="0"/>
          <w:color w:val="333333"/>
          <w:spacing w:val="0"/>
          <w:sz w:val="32"/>
          <w:szCs w:val="32"/>
          <w:shd w:val="clear" w:fill="FFFFFF"/>
          <w:lang w:val="en-US" w:eastAsia="zh-CN"/>
        </w:rPr>
        <w:t>7</w:t>
      </w:r>
      <w:r>
        <w:rPr>
          <w:rFonts w:hint="eastAsia" w:ascii="华文仿宋" w:hAnsi="华文仿宋" w:eastAsia="华文仿宋" w:cs="华文仿宋"/>
          <w:i w:val="0"/>
          <w:iCs w:val="0"/>
          <w:caps w:val="0"/>
          <w:color w:val="333333"/>
          <w:spacing w:val="0"/>
          <w:sz w:val="32"/>
          <w:szCs w:val="32"/>
          <w:shd w:val="clear" w:fill="FFFFFF"/>
        </w:rPr>
        <w:t>月</w:t>
      </w:r>
      <w:r>
        <w:rPr>
          <w:rFonts w:hint="eastAsia" w:ascii="华文仿宋" w:hAnsi="华文仿宋" w:eastAsia="华文仿宋" w:cs="华文仿宋"/>
          <w:i w:val="0"/>
          <w:iCs w:val="0"/>
          <w:caps w:val="0"/>
          <w:color w:val="333333"/>
          <w:spacing w:val="0"/>
          <w:sz w:val="32"/>
          <w:szCs w:val="32"/>
          <w:shd w:val="clear" w:fill="FFFFFF"/>
          <w:lang w:val="en-US" w:eastAsia="zh-CN"/>
        </w:rPr>
        <w:t>27</w:t>
      </w:r>
      <w:bookmarkStart w:id="0" w:name="_GoBack"/>
      <w:bookmarkEnd w:id="0"/>
      <w:r>
        <w:rPr>
          <w:rFonts w:hint="eastAsia" w:ascii="华文仿宋" w:hAnsi="华文仿宋" w:eastAsia="华文仿宋" w:cs="华文仿宋"/>
          <w:i w:val="0"/>
          <w:iCs w:val="0"/>
          <w:caps w:val="0"/>
          <w:color w:val="333333"/>
          <w:spacing w:val="0"/>
          <w:sz w:val="32"/>
          <w:szCs w:val="32"/>
          <w:shd w:val="clear" w:fill="FFFFFF"/>
        </w:rPr>
        <w:t>日前，在官网提交参赛作品。（作品提交规范及模板见附件）</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大赛官网 </w:t>
      </w:r>
      <w:r>
        <w:rPr>
          <w:rFonts w:ascii="等线" w:hAnsi="等线" w:eastAsia="等线" w:cs="等线"/>
          <w:i w:val="0"/>
          <w:iCs w:val="0"/>
          <w:caps w:val="0"/>
          <w:color w:val="1890FF"/>
          <w:spacing w:val="0"/>
          <w:sz w:val="21"/>
          <w:szCs w:val="21"/>
          <w:u w:val="none"/>
          <w:shd w:val="clear" w:fill="FFFFFF"/>
        </w:rPr>
        <w:fldChar w:fldCharType="begin"/>
      </w:r>
      <w:r>
        <w:rPr>
          <w:rFonts w:ascii="等线" w:hAnsi="等线" w:eastAsia="等线" w:cs="等线"/>
          <w:i w:val="0"/>
          <w:iCs w:val="0"/>
          <w:caps w:val="0"/>
          <w:color w:val="1890FF"/>
          <w:spacing w:val="0"/>
          <w:sz w:val="21"/>
          <w:szCs w:val="21"/>
          <w:u w:val="none"/>
          <w:shd w:val="clear" w:fill="FFFFFF"/>
        </w:rPr>
        <w:instrText xml:space="preserve"> HYPERLINK "https://cpipc.acge.org.cn/" </w:instrText>
      </w:r>
      <w:r>
        <w:rPr>
          <w:rFonts w:ascii="等线" w:hAnsi="等线" w:eastAsia="等线" w:cs="等线"/>
          <w:i w:val="0"/>
          <w:iCs w:val="0"/>
          <w:caps w:val="0"/>
          <w:color w:val="1890FF"/>
          <w:spacing w:val="0"/>
          <w:sz w:val="21"/>
          <w:szCs w:val="21"/>
          <w:u w:val="none"/>
          <w:shd w:val="clear" w:fill="FFFFFF"/>
        </w:rPr>
        <w:fldChar w:fldCharType="separate"/>
      </w:r>
      <w:r>
        <w:rPr>
          <w:rStyle w:val="6"/>
          <w:rFonts w:hint="eastAsia" w:ascii="华文仿宋" w:hAnsi="华文仿宋" w:eastAsia="华文仿宋" w:cs="华文仿宋"/>
          <w:i w:val="0"/>
          <w:iCs w:val="0"/>
          <w:caps w:val="0"/>
          <w:color w:val="1890FF"/>
          <w:spacing w:val="0"/>
          <w:sz w:val="32"/>
          <w:szCs w:val="32"/>
          <w:u w:val="none"/>
          <w:shd w:val="clear" w:fill="FFFFFF"/>
        </w:rPr>
        <w:t>https://cpipc.acge.org.cn/</w:t>
      </w:r>
      <w:r>
        <w:rPr>
          <w:rFonts w:hint="eastAsia" w:ascii="等线" w:hAnsi="等线" w:eastAsia="等线" w:cs="等线"/>
          <w:i w:val="0"/>
          <w:iCs w:val="0"/>
          <w:caps w:val="0"/>
          <w:color w:val="1890FF"/>
          <w:spacing w:val="0"/>
          <w:sz w:val="21"/>
          <w:szCs w:val="21"/>
          <w:u w:val="none"/>
          <w:shd w:val="clear" w:fill="FFFFFF"/>
        </w:rPr>
        <w:fldChar w:fldCharType="end"/>
      </w:r>
      <w:r>
        <w:rPr>
          <w:rFonts w:hint="eastAsia" w:ascii="等线" w:hAnsi="等线" w:eastAsia="等线" w:cs="等线"/>
          <w:i w:val="0"/>
          <w:iCs w:val="0"/>
          <w:caps w:val="0"/>
          <w:color w:val="333333"/>
          <w:spacing w:val="0"/>
          <w:sz w:val="21"/>
          <w:szCs w:val="21"/>
          <w:shd w:val="clear" w:fill="FFFFFF"/>
        </w:rPr>
        <w:t>  </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b/>
          <w:bCs/>
          <w:i w:val="0"/>
          <w:iCs w:val="0"/>
          <w:caps w:val="0"/>
          <w:color w:val="333333"/>
          <w:spacing w:val="0"/>
          <w:sz w:val="32"/>
          <w:szCs w:val="32"/>
          <w:shd w:val="clear" w:fill="FFFFFF"/>
        </w:rPr>
        <w:t>二、大赛赛题</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（一）</w:t>
      </w:r>
      <w:r>
        <w:rPr>
          <w:rFonts w:hint="eastAsia" w:ascii="华文仿宋" w:hAnsi="华文仿宋" w:eastAsia="华文仿宋" w:cs="华文仿宋"/>
          <w:b/>
          <w:bCs/>
          <w:i w:val="0"/>
          <w:iCs w:val="0"/>
          <w:caps w:val="0"/>
          <w:color w:val="333333"/>
          <w:spacing w:val="0"/>
          <w:sz w:val="32"/>
          <w:szCs w:val="32"/>
          <w:shd w:val="clear" w:fill="FFFFFF"/>
        </w:rPr>
        <w:t>技术创新</w:t>
      </w:r>
      <w:r>
        <w:rPr>
          <w:rFonts w:hint="eastAsia" w:ascii="华文仿宋" w:hAnsi="华文仿宋" w:eastAsia="华文仿宋" w:cs="华文仿宋"/>
          <w:i w:val="0"/>
          <w:iCs w:val="0"/>
          <w:caps w:val="0"/>
          <w:color w:val="333333"/>
          <w:spacing w:val="0"/>
          <w:sz w:val="32"/>
          <w:szCs w:val="32"/>
          <w:shd w:val="clear" w:fill="FFFFFF"/>
        </w:rPr>
        <w:t>：开放题</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（二）</w:t>
      </w:r>
      <w:r>
        <w:rPr>
          <w:rFonts w:hint="eastAsia" w:ascii="华文仿宋" w:hAnsi="华文仿宋" w:eastAsia="华文仿宋" w:cs="华文仿宋"/>
          <w:b/>
          <w:bCs/>
          <w:i w:val="0"/>
          <w:iCs w:val="0"/>
          <w:caps w:val="0"/>
          <w:color w:val="333333"/>
          <w:spacing w:val="0"/>
          <w:sz w:val="32"/>
          <w:szCs w:val="32"/>
          <w:shd w:val="clear" w:fill="FFFFFF"/>
        </w:rPr>
        <w:t>应用创意</w:t>
      </w:r>
      <w:r>
        <w:rPr>
          <w:rFonts w:hint="eastAsia" w:ascii="华文仿宋" w:hAnsi="华文仿宋" w:eastAsia="华文仿宋" w:cs="华文仿宋"/>
          <w:i w:val="0"/>
          <w:iCs w:val="0"/>
          <w:caps w:val="0"/>
          <w:color w:val="333333"/>
          <w:spacing w:val="0"/>
          <w:sz w:val="32"/>
          <w:szCs w:val="32"/>
          <w:shd w:val="clear" w:fill="FFFFFF"/>
        </w:rPr>
        <w:t>：开放题</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（三）</w:t>
      </w:r>
      <w:r>
        <w:rPr>
          <w:rFonts w:hint="eastAsia" w:ascii="华文仿宋" w:hAnsi="华文仿宋" w:eastAsia="华文仿宋" w:cs="华文仿宋"/>
          <w:b/>
          <w:bCs/>
          <w:i w:val="0"/>
          <w:iCs w:val="0"/>
          <w:caps w:val="0"/>
          <w:color w:val="333333"/>
          <w:spacing w:val="0"/>
          <w:sz w:val="32"/>
          <w:szCs w:val="32"/>
          <w:shd w:val="clear" w:fill="FFFFFF"/>
        </w:rPr>
        <w:t>企业赛题</w:t>
      </w:r>
      <w:r>
        <w:rPr>
          <w:rFonts w:hint="eastAsia" w:ascii="华文仿宋" w:hAnsi="华文仿宋" w:eastAsia="华文仿宋" w:cs="华文仿宋"/>
          <w:i w:val="0"/>
          <w:iCs w:val="0"/>
          <w:caps w:val="0"/>
          <w:color w:val="333333"/>
          <w:spacing w:val="0"/>
          <w:sz w:val="32"/>
          <w:szCs w:val="32"/>
          <w:shd w:val="clear" w:fill="FFFFFF"/>
        </w:rPr>
        <w:t>：华为赛题共3个，均为华为技术有限公司从实际需求出发拟定的与智能技术密切相关的题目。属于此种选题方式的作品还可以参与华为专项奖的评奖。</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b/>
          <w:bCs/>
          <w:i w:val="0"/>
          <w:iCs w:val="0"/>
          <w:caps w:val="0"/>
          <w:color w:val="333333"/>
          <w:spacing w:val="0"/>
          <w:sz w:val="32"/>
          <w:szCs w:val="32"/>
          <w:shd w:val="clear" w:fill="FFFFFF"/>
        </w:rPr>
        <w:t>1.</w:t>
      </w:r>
      <w:r>
        <w:rPr>
          <w:rFonts w:hint="eastAsia" w:ascii="等线" w:hAnsi="等线" w:eastAsia="等线" w:cs="等线"/>
          <w:b/>
          <w:bCs/>
          <w:i w:val="0"/>
          <w:iCs w:val="0"/>
          <w:caps w:val="0"/>
          <w:color w:val="333333"/>
          <w:spacing w:val="0"/>
          <w:sz w:val="21"/>
          <w:szCs w:val="21"/>
          <w:shd w:val="clear" w:fill="FFFFFF"/>
        </w:rPr>
        <w:t> </w:t>
      </w:r>
      <w:r>
        <w:rPr>
          <w:rFonts w:hint="eastAsia" w:ascii="华文仿宋" w:hAnsi="华文仿宋" w:eastAsia="华文仿宋" w:cs="华文仿宋"/>
          <w:b/>
          <w:bCs/>
          <w:i w:val="0"/>
          <w:iCs w:val="0"/>
          <w:caps w:val="0"/>
          <w:color w:val="333333"/>
          <w:spacing w:val="0"/>
          <w:sz w:val="32"/>
          <w:szCs w:val="32"/>
          <w:shd w:val="clear" w:fill="FFFFFF"/>
        </w:rPr>
        <w:t>华为赛题一</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b/>
          <w:bCs/>
          <w:i w:val="0"/>
          <w:iCs w:val="0"/>
          <w:caps w:val="0"/>
          <w:color w:val="333333"/>
          <w:spacing w:val="0"/>
          <w:sz w:val="32"/>
          <w:szCs w:val="32"/>
          <w:shd w:val="clear" w:fill="FFFFFF"/>
        </w:rPr>
        <w:t>1.1题目名称</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AI交互预测决策规划</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b/>
          <w:bCs/>
          <w:i w:val="0"/>
          <w:iCs w:val="0"/>
          <w:caps w:val="0"/>
          <w:color w:val="333333"/>
          <w:spacing w:val="0"/>
          <w:sz w:val="32"/>
          <w:szCs w:val="32"/>
          <w:shd w:val="clear" w:fill="FFFFFF"/>
        </w:rPr>
        <w:t>1.2题目描述</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城区场景，拓扑复杂且存在车辆、非机动车、行人等复杂交互目标，期望通过AI和大数据学习的方法预测环境并给出类人安全的决策规划解，算法层面满足环境预测和决策规划的自洽性和时序稳定性。基于白盒算法的决策规划方法，存在价值函数定义困难、调参难度大、类人性差的问题；基于AI的预测决策规划方法存在模型黑盒可解释性差、结果可靠性无法保障的问题。如何基于数据驱动的方法实现安全可靠的预测决策规划算法存在以下挑战：</w:t>
      </w:r>
    </w:p>
    <w:p>
      <w:pPr>
        <w:keepNext w:val="0"/>
        <w:keepLines w:val="0"/>
        <w:widowControl/>
        <w:numPr>
          <w:ilvl w:val="0"/>
          <w:numId w:val="1"/>
        </w:numPr>
        <w:suppressLineNumbers w:val="0"/>
        <w:spacing w:before="0" w:beforeAutospacing="0" w:after="0" w:afterAutospacing="0"/>
        <w:ind w:left="0" w:right="0" w:hanging="360"/>
        <w:jc w:val="both"/>
      </w:pPr>
      <w:r>
        <w:rPr>
          <w:rFonts w:hint="eastAsia" w:ascii="华文仿宋" w:hAnsi="华文仿宋" w:eastAsia="华文仿宋" w:cs="华文仿宋"/>
          <w:i w:val="0"/>
          <w:iCs w:val="0"/>
          <w:caps w:val="0"/>
          <w:color w:val="333333"/>
          <w:spacing w:val="0"/>
          <w:sz w:val="32"/>
          <w:szCs w:val="32"/>
          <w:shd w:val="clear" w:fill="FFFFFF"/>
        </w:rPr>
        <w:t>AI模型建模拓扑和交通参与者，需要实现对world model的有效建模；</w:t>
      </w:r>
    </w:p>
    <w:p>
      <w:pPr>
        <w:keepNext w:val="0"/>
        <w:keepLines w:val="0"/>
        <w:widowControl/>
        <w:numPr>
          <w:ilvl w:val="0"/>
          <w:numId w:val="1"/>
        </w:numPr>
        <w:suppressLineNumbers w:val="0"/>
        <w:spacing w:before="0" w:beforeAutospacing="0" w:after="0" w:afterAutospacing="0"/>
        <w:ind w:left="0" w:right="0" w:hanging="360"/>
        <w:jc w:val="both"/>
      </w:pPr>
      <w:r>
        <w:rPr>
          <w:rFonts w:hint="eastAsia" w:ascii="华文仿宋" w:hAnsi="华文仿宋" w:eastAsia="华文仿宋" w:cs="华文仿宋"/>
          <w:i w:val="0"/>
          <w:iCs w:val="0"/>
          <w:caps w:val="0"/>
          <w:color w:val="333333"/>
          <w:spacing w:val="0"/>
          <w:sz w:val="32"/>
          <w:szCs w:val="32"/>
          <w:shd w:val="clear" w:fill="FFFFFF"/>
        </w:rPr>
        <w:t>AI模型设计需要充分考虑自车和社会交通参与者的交互和自车类人安全性，模型输出需要满足预测决策规划自洽性和时序稳定性，而非仅仅是无交互的开环预测；</w:t>
      </w:r>
    </w:p>
    <w:p>
      <w:pPr>
        <w:keepNext w:val="0"/>
        <w:keepLines w:val="0"/>
        <w:widowControl/>
        <w:numPr>
          <w:ilvl w:val="0"/>
          <w:numId w:val="1"/>
        </w:numPr>
        <w:suppressLineNumbers w:val="0"/>
        <w:spacing w:before="0" w:beforeAutospacing="0" w:after="0" w:afterAutospacing="0"/>
        <w:ind w:left="0" w:right="0" w:hanging="360"/>
        <w:jc w:val="both"/>
      </w:pPr>
      <w:r>
        <w:rPr>
          <w:rFonts w:hint="eastAsia" w:ascii="华文仿宋" w:hAnsi="华文仿宋" w:eastAsia="华文仿宋" w:cs="华文仿宋"/>
          <w:i w:val="0"/>
          <w:iCs w:val="0"/>
          <w:caps w:val="0"/>
          <w:color w:val="333333"/>
          <w:spacing w:val="0"/>
          <w:sz w:val="32"/>
          <w:szCs w:val="32"/>
          <w:shd w:val="clear" w:fill="FFFFFF"/>
        </w:rPr>
        <w:t>AI模型的有效性难以从开环的平均指标得到证明，而闭环仿真器车辆存在与真实环境行为不同的问题，模型的有效安全性需要探索高效的证明方式；</w:t>
      </w:r>
    </w:p>
    <w:p>
      <w:pPr>
        <w:keepNext w:val="0"/>
        <w:keepLines w:val="0"/>
        <w:widowControl/>
        <w:numPr>
          <w:ilvl w:val="0"/>
          <w:numId w:val="1"/>
        </w:numPr>
        <w:suppressLineNumbers w:val="0"/>
        <w:spacing w:before="0" w:beforeAutospacing="0" w:after="0" w:afterAutospacing="0"/>
        <w:ind w:left="0" w:right="0" w:hanging="360"/>
        <w:jc w:val="both"/>
      </w:pPr>
      <w:r>
        <w:rPr>
          <w:rFonts w:hint="eastAsia" w:ascii="华文仿宋" w:hAnsi="华文仿宋" w:eastAsia="华文仿宋" w:cs="华文仿宋"/>
          <w:i w:val="0"/>
          <w:iCs w:val="0"/>
          <w:caps w:val="0"/>
          <w:color w:val="333333"/>
          <w:spacing w:val="0"/>
          <w:sz w:val="32"/>
          <w:szCs w:val="32"/>
          <w:shd w:val="clear" w:fill="FFFFFF"/>
        </w:rPr>
        <w:t>经过数据驱动后，需要AI模型能捕捉场景的差异特征，学习到场景异性的具体表现而非平均表现；</w:t>
      </w:r>
    </w:p>
    <w:p>
      <w:pPr>
        <w:keepNext w:val="0"/>
        <w:keepLines w:val="0"/>
        <w:widowControl/>
        <w:numPr>
          <w:ilvl w:val="0"/>
          <w:numId w:val="1"/>
        </w:numPr>
        <w:suppressLineNumbers w:val="0"/>
        <w:spacing w:before="0" w:beforeAutospacing="0" w:after="0" w:afterAutospacing="0"/>
        <w:ind w:left="0" w:right="0" w:hanging="360"/>
        <w:jc w:val="both"/>
      </w:pPr>
      <w:r>
        <w:rPr>
          <w:rFonts w:hint="eastAsia" w:ascii="华文仿宋" w:hAnsi="华文仿宋" w:eastAsia="华文仿宋" w:cs="华文仿宋"/>
          <w:i w:val="0"/>
          <w:iCs w:val="0"/>
          <w:caps w:val="0"/>
          <w:color w:val="333333"/>
          <w:spacing w:val="0"/>
          <w:sz w:val="32"/>
          <w:szCs w:val="32"/>
          <w:shd w:val="clear" w:fill="FFFFFF"/>
        </w:rPr>
        <w:t>需要对AI模型的输出设计有效应用和看护算法，使得自动驾驶更为安全智能。</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b/>
          <w:bCs/>
          <w:i w:val="0"/>
          <w:iCs w:val="0"/>
          <w:caps w:val="0"/>
          <w:color w:val="333333"/>
          <w:spacing w:val="0"/>
          <w:sz w:val="32"/>
          <w:szCs w:val="32"/>
          <w:shd w:val="clear" w:fill="FFFFFF"/>
        </w:rPr>
        <w:t>1.3具体要求</w:t>
      </w:r>
    </w:p>
    <w:p>
      <w:pPr>
        <w:keepNext w:val="0"/>
        <w:keepLines w:val="0"/>
        <w:widowControl/>
        <w:numPr>
          <w:ilvl w:val="0"/>
          <w:numId w:val="2"/>
        </w:numPr>
        <w:suppressLineNumbers w:val="0"/>
        <w:spacing w:before="0" w:beforeAutospacing="0" w:after="0" w:afterAutospacing="0"/>
        <w:ind w:left="0" w:right="0" w:hanging="360"/>
        <w:jc w:val="both"/>
      </w:pPr>
      <w:r>
        <w:rPr>
          <w:rFonts w:hint="eastAsia" w:ascii="华文仿宋" w:hAnsi="华文仿宋" w:eastAsia="华文仿宋" w:cs="华文仿宋"/>
          <w:i w:val="0"/>
          <w:iCs w:val="0"/>
          <w:caps w:val="0"/>
          <w:color w:val="333333"/>
          <w:spacing w:val="0"/>
          <w:sz w:val="32"/>
          <w:szCs w:val="32"/>
          <w:shd w:val="clear" w:fill="FFFFFF"/>
        </w:rPr>
        <w:t>根据可参考的开源数据集，设计和实现交互预测决策规划模型，除了开环的平均指标外需要设计和给出自洽指标和时序稳定指标或相关证明，需要实现闭环的评测或闭环有效性的证明，允许设计白盒算法提升AI模型输出的有效性和安全性。可在路口或人车混行等复杂场景进行通过率验证。指标参考：</w:t>
      </w:r>
      <w:r>
        <w:rPr>
          <w:rFonts w:hint="eastAsia" w:ascii="华文仿宋" w:hAnsi="华文仿宋" w:eastAsia="华文仿宋" w:cs="华文仿宋"/>
          <w:i w:val="0"/>
          <w:iCs w:val="0"/>
          <w:caps w:val="0"/>
          <w:color w:val="333333"/>
          <w:spacing w:val="0"/>
          <w:sz w:val="28"/>
          <w:szCs w:val="28"/>
          <w:shd w:val="clear" w:fill="FFFFFF"/>
        </w:rPr>
        <w:t>MinADE_5、MinADE_10</w:t>
      </w:r>
      <w:r>
        <w:rPr>
          <w:rFonts w:hint="eastAsia" w:ascii="等线" w:hAnsi="等线" w:eastAsia="等线" w:cs="等线"/>
          <w:i w:val="0"/>
          <w:iCs w:val="0"/>
          <w:caps w:val="0"/>
          <w:color w:val="333333"/>
          <w:spacing w:val="0"/>
          <w:sz w:val="21"/>
          <w:szCs w:val="21"/>
          <w:shd w:val="clear" w:fill="FFFFFF"/>
        </w:rPr>
        <w:t> </w:t>
      </w:r>
      <w:r>
        <w:rPr>
          <w:rFonts w:hint="eastAsia" w:ascii="华文仿宋" w:hAnsi="华文仿宋" w:eastAsia="华文仿宋" w:cs="华文仿宋"/>
          <w:i w:val="0"/>
          <w:iCs w:val="0"/>
          <w:caps w:val="0"/>
          <w:color w:val="333333"/>
          <w:spacing w:val="0"/>
          <w:sz w:val="28"/>
          <w:szCs w:val="28"/>
          <w:shd w:val="clear" w:fill="FFFFFF"/>
        </w:rPr>
        <w:t>、MissRateTopK_2_5、MissRateTopK_2_10、MinFDE_1、OfRoadRate（https://paperswithcode.com/sota/trajectory-prediction-on-nuscenes）MinJointADE、MinJointFDE、MinJointMR、CrossCollisionRate、EgoCollisionRate、ConsistentMinJointMR（http://challenge.interaction-dataset.com/leader-board）</w:t>
      </w:r>
    </w:p>
    <w:p>
      <w:pPr>
        <w:keepNext w:val="0"/>
        <w:keepLines w:val="0"/>
        <w:widowControl/>
        <w:numPr>
          <w:ilvl w:val="0"/>
          <w:numId w:val="2"/>
        </w:numPr>
        <w:suppressLineNumbers w:val="0"/>
        <w:spacing w:before="0" w:beforeAutospacing="0" w:after="0" w:afterAutospacing="0"/>
        <w:ind w:left="0" w:right="0" w:hanging="360"/>
        <w:jc w:val="both"/>
      </w:pPr>
      <w:r>
        <w:rPr>
          <w:rFonts w:hint="eastAsia" w:ascii="华文仿宋" w:hAnsi="华文仿宋" w:eastAsia="华文仿宋" w:cs="华文仿宋"/>
          <w:i w:val="0"/>
          <w:iCs w:val="0"/>
          <w:caps w:val="0"/>
          <w:color w:val="333333"/>
          <w:spacing w:val="0"/>
          <w:sz w:val="32"/>
          <w:szCs w:val="32"/>
          <w:shd w:val="clear" w:fill="FFFFFF"/>
        </w:rPr>
        <w:t>可利用外部数据进行增强算法或仿真数据进行大模型预训练等（需给出所使用数据集的说明文档），并最终在测试集上进行测试，证明方法的有效性。</w:t>
      </w:r>
    </w:p>
    <w:p>
      <w:pPr>
        <w:keepNext w:val="0"/>
        <w:keepLines w:val="0"/>
        <w:widowControl/>
        <w:numPr>
          <w:ilvl w:val="0"/>
          <w:numId w:val="2"/>
        </w:numPr>
        <w:suppressLineNumbers w:val="0"/>
        <w:spacing w:before="0" w:beforeAutospacing="0" w:after="0" w:afterAutospacing="0"/>
        <w:ind w:left="0" w:right="0" w:hanging="360"/>
        <w:jc w:val="both"/>
      </w:pPr>
      <w:r>
        <w:rPr>
          <w:rFonts w:hint="eastAsia" w:ascii="华文仿宋" w:hAnsi="华文仿宋" w:eastAsia="华文仿宋" w:cs="华文仿宋"/>
          <w:i w:val="0"/>
          <w:iCs w:val="0"/>
          <w:caps w:val="0"/>
          <w:color w:val="333333"/>
          <w:spacing w:val="0"/>
          <w:sz w:val="32"/>
          <w:szCs w:val="32"/>
          <w:shd w:val="clear" w:fill="FFFFFF"/>
        </w:rPr>
        <w:t>赛题总分由竞赛得分（60%）和专家评分（40%）两部分组成。专家评分使用华为内部的中国道路的复杂场景测试数据进行指标评价和验收，考察算法的泛化性。</w:t>
      </w:r>
    </w:p>
    <w:p>
      <w:pPr>
        <w:keepNext w:val="0"/>
        <w:keepLines w:val="0"/>
        <w:widowControl/>
        <w:numPr>
          <w:ilvl w:val="0"/>
          <w:numId w:val="2"/>
        </w:numPr>
        <w:suppressLineNumbers w:val="0"/>
        <w:spacing w:before="0" w:beforeAutospacing="0" w:after="0" w:afterAutospacing="0"/>
        <w:ind w:left="0" w:right="0" w:hanging="360"/>
        <w:jc w:val="both"/>
      </w:pPr>
      <w:r>
        <w:rPr>
          <w:rFonts w:hint="eastAsia" w:ascii="华文仿宋" w:hAnsi="华文仿宋" w:eastAsia="华文仿宋" w:cs="华文仿宋"/>
          <w:i w:val="0"/>
          <w:iCs w:val="0"/>
          <w:caps w:val="0"/>
          <w:color w:val="333333"/>
          <w:spacing w:val="0"/>
          <w:sz w:val="32"/>
          <w:szCs w:val="32"/>
          <w:shd w:val="clear" w:fill="FFFFFF"/>
        </w:rPr>
        <w:t>竞赛得分部分根据选手提交的方案在测试集（包括公开测试集和非公开测试集）上的运行结果给出。</w:t>
      </w:r>
    </w:p>
    <w:p>
      <w:pPr>
        <w:keepNext w:val="0"/>
        <w:keepLines w:val="0"/>
        <w:widowControl/>
        <w:numPr>
          <w:ilvl w:val="0"/>
          <w:numId w:val="2"/>
        </w:numPr>
        <w:suppressLineNumbers w:val="0"/>
        <w:spacing w:before="0" w:beforeAutospacing="0" w:after="0" w:afterAutospacing="0"/>
        <w:ind w:left="0" w:right="0" w:hanging="360"/>
        <w:jc w:val="both"/>
      </w:pPr>
      <w:r>
        <w:rPr>
          <w:rFonts w:hint="eastAsia" w:ascii="华文仿宋" w:hAnsi="华文仿宋" w:eastAsia="华文仿宋" w:cs="华文仿宋"/>
          <w:i w:val="0"/>
          <w:iCs w:val="0"/>
          <w:caps w:val="0"/>
          <w:color w:val="333333"/>
          <w:spacing w:val="0"/>
          <w:sz w:val="32"/>
          <w:szCs w:val="32"/>
          <w:shd w:val="clear" w:fill="FFFFFF"/>
        </w:rPr>
        <w:t>专家评分由评委组对选手所提交的方案的新颖性、合理性等进行打分。因此，参赛选手还需要提交模型代码（用于非公开测试集评估）、模型说明文件（用于报告模型方案以及模型在公开测试集上的结果）。</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b/>
          <w:bCs/>
          <w:i w:val="0"/>
          <w:iCs w:val="0"/>
          <w:caps w:val="0"/>
          <w:color w:val="333333"/>
          <w:spacing w:val="0"/>
          <w:sz w:val="32"/>
          <w:szCs w:val="32"/>
          <w:shd w:val="clear" w:fill="FFFFFF"/>
        </w:rPr>
        <w:t>1.4咨询专家及联系邮箱</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李洪业</w:t>
      </w:r>
      <w:r>
        <w:rPr>
          <w:rFonts w:hint="eastAsia" w:ascii="等线" w:hAnsi="等线" w:eastAsia="等线" w:cs="等线"/>
          <w:i w:val="0"/>
          <w:iCs w:val="0"/>
          <w:caps w:val="0"/>
          <w:color w:val="333333"/>
          <w:spacing w:val="0"/>
          <w:sz w:val="21"/>
          <w:szCs w:val="21"/>
          <w:shd w:val="clear" w:fill="FFFFFF"/>
        </w:rPr>
        <w:t> </w:t>
      </w:r>
      <w:r>
        <w:rPr>
          <w:rFonts w:hint="eastAsia" w:ascii="华文仿宋" w:hAnsi="华文仿宋" w:eastAsia="华文仿宋" w:cs="华文仿宋"/>
          <w:i w:val="0"/>
          <w:iCs w:val="0"/>
          <w:caps w:val="0"/>
          <w:color w:val="333333"/>
          <w:spacing w:val="0"/>
          <w:sz w:val="32"/>
          <w:szCs w:val="32"/>
          <w:shd w:val="clear" w:fill="FFFFFF"/>
        </w:rPr>
        <w:t>-</w:t>
      </w:r>
      <w:r>
        <w:rPr>
          <w:rFonts w:hint="eastAsia" w:ascii="等线" w:hAnsi="等线" w:eastAsia="等线" w:cs="等线"/>
          <w:i w:val="0"/>
          <w:iCs w:val="0"/>
          <w:caps w:val="0"/>
          <w:color w:val="333333"/>
          <w:spacing w:val="0"/>
          <w:sz w:val="21"/>
          <w:szCs w:val="21"/>
          <w:shd w:val="clear" w:fill="FFFFFF"/>
        </w:rPr>
        <w:t> </w:t>
      </w:r>
      <w:r>
        <w:rPr>
          <w:rFonts w:hint="eastAsia" w:ascii="华文仿宋" w:hAnsi="华文仿宋" w:eastAsia="华文仿宋" w:cs="华文仿宋"/>
          <w:i w:val="0"/>
          <w:iCs w:val="0"/>
          <w:caps w:val="0"/>
          <w:color w:val="333333"/>
          <w:spacing w:val="0"/>
          <w:sz w:val="32"/>
          <w:szCs w:val="32"/>
          <w:shd w:val="clear" w:fill="FFFFFF"/>
        </w:rPr>
        <w:t>lihongye5@huawei.com</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柳肖雪</w:t>
      </w:r>
      <w:r>
        <w:rPr>
          <w:rFonts w:hint="eastAsia" w:ascii="等线" w:hAnsi="等线" w:eastAsia="等线" w:cs="等线"/>
          <w:i w:val="0"/>
          <w:iCs w:val="0"/>
          <w:caps w:val="0"/>
          <w:color w:val="333333"/>
          <w:spacing w:val="0"/>
          <w:sz w:val="21"/>
          <w:szCs w:val="21"/>
          <w:shd w:val="clear" w:fill="FFFFFF"/>
        </w:rPr>
        <w:t> </w:t>
      </w:r>
      <w:r>
        <w:rPr>
          <w:rFonts w:hint="eastAsia" w:ascii="华文仿宋" w:hAnsi="华文仿宋" w:eastAsia="华文仿宋" w:cs="华文仿宋"/>
          <w:i w:val="0"/>
          <w:iCs w:val="0"/>
          <w:caps w:val="0"/>
          <w:color w:val="333333"/>
          <w:spacing w:val="0"/>
          <w:sz w:val="32"/>
          <w:szCs w:val="32"/>
          <w:shd w:val="clear" w:fill="FFFFFF"/>
        </w:rPr>
        <w:t>-</w:t>
      </w:r>
      <w:r>
        <w:rPr>
          <w:rFonts w:hint="eastAsia" w:ascii="等线" w:hAnsi="等线" w:eastAsia="等线" w:cs="等线"/>
          <w:i w:val="0"/>
          <w:iCs w:val="0"/>
          <w:caps w:val="0"/>
          <w:color w:val="333333"/>
          <w:spacing w:val="0"/>
          <w:sz w:val="21"/>
          <w:szCs w:val="21"/>
          <w:shd w:val="clear" w:fill="FFFFFF"/>
        </w:rPr>
        <w:t> </w:t>
      </w:r>
      <w:r>
        <w:rPr>
          <w:rFonts w:hint="eastAsia" w:ascii="华文仿宋" w:hAnsi="华文仿宋" w:eastAsia="华文仿宋" w:cs="华文仿宋"/>
          <w:i w:val="0"/>
          <w:iCs w:val="0"/>
          <w:caps w:val="0"/>
          <w:color w:val="333333"/>
          <w:spacing w:val="0"/>
          <w:sz w:val="32"/>
          <w:szCs w:val="32"/>
          <w:shd w:val="clear" w:fill="FFFFFF"/>
        </w:rPr>
        <w:t>liuxiaoxue2@hisilicon.com</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b/>
          <w:bCs/>
          <w:i w:val="0"/>
          <w:iCs w:val="0"/>
          <w:caps w:val="0"/>
          <w:color w:val="333333"/>
          <w:spacing w:val="0"/>
          <w:sz w:val="32"/>
          <w:szCs w:val="32"/>
          <w:shd w:val="clear" w:fill="FFFFFF"/>
        </w:rPr>
        <w:t>1.5参考数据集</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等线" w:hAnsi="等线" w:eastAsia="等线" w:cs="等线"/>
          <w:i w:val="0"/>
          <w:iCs w:val="0"/>
          <w:caps w:val="0"/>
          <w:color w:val="1890FF"/>
          <w:spacing w:val="0"/>
          <w:sz w:val="21"/>
          <w:szCs w:val="21"/>
          <w:u w:val="none"/>
          <w:shd w:val="clear" w:fill="FFFFFF"/>
        </w:rPr>
        <w:fldChar w:fldCharType="begin"/>
      </w:r>
      <w:r>
        <w:rPr>
          <w:rFonts w:hint="eastAsia" w:ascii="等线" w:hAnsi="等线" w:eastAsia="等线" w:cs="等线"/>
          <w:i w:val="0"/>
          <w:iCs w:val="0"/>
          <w:caps w:val="0"/>
          <w:color w:val="1890FF"/>
          <w:spacing w:val="0"/>
          <w:sz w:val="21"/>
          <w:szCs w:val="21"/>
          <w:u w:val="none"/>
          <w:shd w:val="clear" w:fill="FFFFFF"/>
        </w:rPr>
        <w:instrText xml:space="preserve"> HYPERLINK "https://www.nuscenes.org/nuplan" \l "download" </w:instrText>
      </w:r>
      <w:r>
        <w:rPr>
          <w:rFonts w:hint="eastAsia" w:ascii="等线" w:hAnsi="等线" w:eastAsia="等线" w:cs="等线"/>
          <w:i w:val="0"/>
          <w:iCs w:val="0"/>
          <w:caps w:val="0"/>
          <w:color w:val="1890FF"/>
          <w:spacing w:val="0"/>
          <w:sz w:val="21"/>
          <w:szCs w:val="21"/>
          <w:u w:val="none"/>
          <w:shd w:val="clear" w:fill="FFFFFF"/>
        </w:rPr>
        <w:fldChar w:fldCharType="separate"/>
      </w:r>
      <w:r>
        <w:rPr>
          <w:rStyle w:val="6"/>
          <w:rFonts w:hint="eastAsia" w:ascii="华文仿宋" w:hAnsi="华文仿宋" w:eastAsia="华文仿宋" w:cs="华文仿宋"/>
          <w:i w:val="0"/>
          <w:iCs w:val="0"/>
          <w:caps w:val="0"/>
          <w:color w:val="0563C1"/>
          <w:spacing w:val="0"/>
          <w:sz w:val="30"/>
          <w:szCs w:val="30"/>
          <w:u w:val="single"/>
          <w:shd w:val="clear" w:fill="FFFFFF"/>
        </w:rPr>
        <w:t>https://www.nuscenes.org/nuplan#download</w:t>
      </w:r>
      <w:r>
        <w:rPr>
          <w:rFonts w:hint="eastAsia" w:ascii="等线" w:hAnsi="等线" w:eastAsia="等线" w:cs="等线"/>
          <w:i w:val="0"/>
          <w:iCs w:val="0"/>
          <w:caps w:val="0"/>
          <w:color w:val="1890FF"/>
          <w:spacing w:val="0"/>
          <w:sz w:val="21"/>
          <w:szCs w:val="21"/>
          <w:u w:val="none"/>
          <w:shd w:val="clear" w:fill="FFFFFF"/>
        </w:rPr>
        <w:fldChar w:fldCharType="end"/>
      </w:r>
      <w:r>
        <w:rPr>
          <w:rFonts w:hint="eastAsia" w:ascii="等线" w:hAnsi="等线" w:eastAsia="等线" w:cs="等线"/>
          <w:i w:val="0"/>
          <w:iCs w:val="0"/>
          <w:caps w:val="0"/>
          <w:color w:val="333333"/>
          <w:spacing w:val="0"/>
          <w:sz w:val="21"/>
          <w:szCs w:val="21"/>
          <w:shd w:val="clear" w:fill="FFFFFF"/>
        </w:rPr>
        <w:t> </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等线" w:hAnsi="等线" w:eastAsia="等线" w:cs="等线"/>
          <w:i w:val="0"/>
          <w:iCs w:val="0"/>
          <w:caps w:val="0"/>
          <w:color w:val="1890FF"/>
          <w:spacing w:val="0"/>
          <w:sz w:val="21"/>
          <w:szCs w:val="21"/>
          <w:u w:val="none"/>
          <w:shd w:val="clear" w:fill="FFFFFF"/>
        </w:rPr>
        <w:fldChar w:fldCharType="begin"/>
      </w:r>
      <w:r>
        <w:rPr>
          <w:rFonts w:hint="eastAsia" w:ascii="等线" w:hAnsi="等线" w:eastAsia="等线" w:cs="等线"/>
          <w:i w:val="0"/>
          <w:iCs w:val="0"/>
          <w:caps w:val="0"/>
          <w:color w:val="1890FF"/>
          <w:spacing w:val="0"/>
          <w:sz w:val="21"/>
          <w:szCs w:val="21"/>
          <w:u w:val="none"/>
          <w:shd w:val="clear" w:fill="FFFFFF"/>
        </w:rPr>
        <w:instrText xml:space="preserve"> HYPERLINK "https://paperswithcode.com/sota/trajectory-prediction-on-nuscenes" </w:instrText>
      </w:r>
      <w:r>
        <w:rPr>
          <w:rFonts w:hint="eastAsia" w:ascii="等线" w:hAnsi="等线" w:eastAsia="等线" w:cs="等线"/>
          <w:i w:val="0"/>
          <w:iCs w:val="0"/>
          <w:caps w:val="0"/>
          <w:color w:val="1890FF"/>
          <w:spacing w:val="0"/>
          <w:sz w:val="21"/>
          <w:szCs w:val="21"/>
          <w:u w:val="none"/>
          <w:shd w:val="clear" w:fill="FFFFFF"/>
        </w:rPr>
        <w:fldChar w:fldCharType="separate"/>
      </w:r>
      <w:r>
        <w:rPr>
          <w:rStyle w:val="6"/>
          <w:rFonts w:hint="eastAsia" w:ascii="华文仿宋" w:hAnsi="华文仿宋" w:eastAsia="华文仿宋" w:cs="华文仿宋"/>
          <w:i w:val="0"/>
          <w:iCs w:val="0"/>
          <w:caps w:val="0"/>
          <w:color w:val="0563C1"/>
          <w:spacing w:val="0"/>
          <w:sz w:val="28"/>
          <w:szCs w:val="28"/>
          <w:u w:val="single"/>
          <w:shd w:val="clear" w:fill="FFFFFF"/>
        </w:rPr>
        <w:t>https://paperswithcode.com/sota/trajectory-prediction-on-nuscenes</w:t>
      </w:r>
      <w:r>
        <w:rPr>
          <w:rFonts w:hint="eastAsia" w:ascii="等线" w:hAnsi="等线" w:eastAsia="等线" w:cs="等线"/>
          <w:i w:val="0"/>
          <w:iCs w:val="0"/>
          <w:caps w:val="0"/>
          <w:color w:val="1890FF"/>
          <w:spacing w:val="0"/>
          <w:sz w:val="21"/>
          <w:szCs w:val="21"/>
          <w:u w:val="none"/>
          <w:shd w:val="clear" w:fill="FFFFFF"/>
        </w:rPr>
        <w:fldChar w:fldCharType="end"/>
      </w:r>
      <w:r>
        <w:rPr>
          <w:rFonts w:hint="eastAsia" w:ascii="等线" w:hAnsi="等线" w:eastAsia="等线" w:cs="等线"/>
          <w:i w:val="0"/>
          <w:iCs w:val="0"/>
          <w:caps w:val="0"/>
          <w:color w:val="333333"/>
          <w:spacing w:val="0"/>
          <w:sz w:val="21"/>
          <w:szCs w:val="21"/>
          <w:shd w:val="clear" w:fill="FFFFFF"/>
        </w:rPr>
        <w:t> </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b/>
          <w:bCs/>
          <w:i w:val="0"/>
          <w:iCs w:val="0"/>
          <w:caps w:val="0"/>
          <w:color w:val="333333"/>
          <w:spacing w:val="0"/>
          <w:sz w:val="32"/>
          <w:szCs w:val="32"/>
          <w:shd w:val="clear" w:fill="FFFFFF"/>
        </w:rPr>
        <w:t>1.6参考文献</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0"/>
          <w:szCs w:val="30"/>
          <w:shd w:val="clear" w:fill="FFFFFF"/>
        </w:rPr>
        <w:t>[1] Interaction-Based Trajectory Prediction Over a Hybrid Traffic</w:t>
      </w:r>
      <w:r>
        <w:rPr>
          <w:rFonts w:hint="eastAsia" w:ascii="等线" w:hAnsi="等线" w:eastAsia="等线" w:cs="等线"/>
          <w:i w:val="0"/>
          <w:iCs w:val="0"/>
          <w:caps w:val="0"/>
          <w:color w:val="333333"/>
          <w:spacing w:val="0"/>
          <w:sz w:val="21"/>
          <w:szCs w:val="21"/>
          <w:shd w:val="clear" w:fill="FFFFFF"/>
        </w:rPr>
        <w:t>  </w:t>
      </w:r>
      <w:r>
        <w:rPr>
          <w:rFonts w:hint="eastAsia" w:ascii="华文仿宋" w:hAnsi="华文仿宋" w:eastAsia="华文仿宋" w:cs="华文仿宋"/>
          <w:i w:val="0"/>
          <w:iCs w:val="0"/>
          <w:caps w:val="0"/>
          <w:color w:val="333333"/>
          <w:spacing w:val="0"/>
          <w:sz w:val="30"/>
          <w:szCs w:val="30"/>
          <w:shd w:val="clear" w:fill="FFFFFF"/>
        </w:rPr>
        <w:t>Graph (IROS2020)</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0"/>
          <w:szCs w:val="30"/>
          <w:shd w:val="clear" w:fill="FFFFFF"/>
        </w:rPr>
        <w:t>[2] Implicit Latent Variable Model for Scene-Consistent Motion</w:t>
      </w:r>
      <w:r>
        <w:rPr>
          <w:rFonts w:hint="eastAsia" w:ascii="等线" w:hAnsi="等线" w:eastAsia="等线" w:cs="等线"/>
          <w:i w:val="0"/>
          <w:iCs w:val="0"/>
          <w:caps w:val="0"/>
          <w:color w:val="333333"/>
          <w:spacing w:val="0"/>
          <w:sz w:val="21"/>
          <w:szCs w:val="21"/>
          <w:shd w:val="clear" w:fill="FFFFFF"/>
        </w:rPr>
        <w:t> </w:t>
      </w:r>
      <w:r>
        <w:rPr>
          <w:rFonts w:hint="eastAsia" w:ascii="华文仿宋" w:hAnsi="华文仿宋" w:eastAsia="华文仿宋" w:cs="华文仿宋"/>
          <w:i w:val="0"/>
          <w:iCs w:val="0"/>
          <w:caps w:val="0"/>
          <w:color w:val="333333"/>
          <w:spacing w:val="0"/>
          <w:sz w:val="30"/>
          <w:szCs w:val="30"/>
          <w:shd w:val="clear" w:fill="FFFFFF"/>
        </w:rPr>
        <w:t>Forecasting (ECCV2020)</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0"/>
          <w:szCs w:val="30"/>
          <w:shd w:val="clear" w:fill="FFFFFF"/>
        </w:rPr>
        <w:t>[3] Scene Transformer: A unified architecture for predicting multiple agent trajectories (ICLR2022)</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0"/>
          <w:szCs w:val="30"/>
          <w:shd w:val="clear" w:fill="FFFFFF"/>
        </w:rPr>
        <w:t>[4] Occupancy Flow Fields for Motion Forecasting in Autonomous Driving (RAL2022)</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0"/>
          <w:szCs w:val="30"/>
          <w:shd w:val="clear" w:fill="FFFFFF"/>
        </w:rPr>
        <w:t>[5] “THOMAS: Trajectory Heatmap Output With Learned Multi-Agent Sampling“，（ICLR2022）</w:t>
      </w:r>
    </w:p>
    <w:p>
      <w:pPr>
        <w:keepNext w:val="0"/>
        <w:keepLines w:val="0"/>
        <w:widowControl/>
        <w:numPr>
          <w:ilvl w:val="0"/>
          <w:numId w:val="3"/>
        </w:numPr>
        <w:suppressLineNumbers w:val="0"/>
        <w:spacing w:before="0" w:beforeAutospacing="0" w:after="0" w:afterAutospacing="0"/>
        <w:ind w:left="0" w:right="0" w:hanging="360"/>
        <w:jc w:val="both"/>
      </w:pPr>
      <w:r>
        <w:rPr>
          <w:rFonts w:hint="eastAsia" w:ascii="华文仿宋" w:hAnsi="华文仿宋" w:eastAsia="华文仿宋" w:cs="华文仿宋"/>
          <w:b/>
          <w:bCs/>
          <w:i w:val="0"/>
          <w:iCs w:val="0"/>
          <w:caps w:val="0"/>
          <w:color w:val="333333"/>
          <w:spacing w:val="0"/>
          <w:sz w:val="32"/>
          <w:szCs w:val="32"/>
          <w:shd w:val="clear" w:fill="FFFFFF"/>
        </w:rPr>
        <w:t>华为赛题二</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b/>
          <w:bCs/>
          <w:i w:val="0"/>
          <w:iCs w:val="0"/>
          <w:caps w:val="0"/>
          <w:color w:val="333333"/>
          <w:spacing w:val="0"/>
          <w:sz w:val="32"/>
          <w:szCs w:val="32"/>
          <w:shd w:val="clear" w:fill="FFFFFF"/>
        </w:rPr>
        <w:t>2.1题目名称</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适用多场景的通用化时序预测算法</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b/>
          <w:bCs/>
          <w:i w:val="0"/>
          <w:iCs w:val="0"/>
          <w:caps w:val="0"/>
          <w:color w:val="333333"/>
          <w:spacing w:val="0"/>
          <w:sz w:val="32"/>
          <w:szCs w:val="32"/>
          <w:shd w:val="clear" w:fill="FFFFFF"/>
        </w:rPr>
        <w:t>2.2题目描述</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随着云计算的规模增大、数字化程度提高，涌现出大量时间序列场景和数据，如资源的消耗序列、用户的行为序列、机房传感器的读数序列等。在针对这些数据的分析和利用中，预测问题是用户和企业最关心的任务之一，因为精准的时序预测往往是资源规划、商业运营、硬件运维等领域决策的先决条件，而这些领域的决策质量又影响了云厂商的运营效率和用户体验，定义了云厂商的核心竞争力。</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云计算中的数据有着来源丰富、规模庞大、特性迥异等特点，因此传统的时序预测算法往往难以适应多种不同业务场景的需求，需要投入大量人力物力面向不同业务场景设计针对性的算法，成为了竞争力提升的一个瓶颈。将人工智能技术应用于时序预测任务是一条可行的出路，或可基于对数据特征的分析，选择合适的算法类型；或可基于神经网络等机器学习模型强大的表达能力，以单个模型实现通用化预测的目的。</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主要挑战：</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1）“通用性”并没有一个被广泛接受的明确定义，如果依赖具体的数据集，则一方面该数据集可能对特定类型的数据有所偏向，另一方面也会导致算法的研发倾向于过拟合该数据集。因此首要的挑战是提出并论证数据多样性和平衡性的指标，并根据该指标进行数据收集。</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2）面对拥有序列多样性的数据集，设计一个通用化的时序预测算法是一个挑战。算法可能需要处理不同长度、趋势性、周期性、采样粒度的时间序列，并且在各个序列上均给出较好的结果。</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b/>
          <w:bCs/>
          <w:i w:val="0"/>
          <w:iCs w:val="0"/>
          <w:caps w:val="0"/>
          <w:color w:val="333333"/>
          <w:spacing w:val="0"/>
          <w:sz w:val="32"/>
          <w:szCs w:val="32"/>
          <w:shd w:val="clear" w:fill="FFFFFF"/>
        </w:rPr>
        <w:t>2.3具体要求</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1）参赛者需要定义并论证一种数据多样性和平衡性的指标，并据此基于开源数据或生成数据构建数据集，要求其中时间序列的数量不少于1000。可以根据数据特性设计一种合理的训练集和测试集的切分方式，这种切分既可以是在时间维度上的（至少保留20%作为测试集），也可以是在序列维度上的（至少保留50%作为测试集）。</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2）参赛者需要设计一种时间序列预测算法，可以是单算法也可以是集成方案，在数据集上进行训练和验证，给出算法效果和证明算法通用性的案例分析。</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参赛队伍最终提交构造数据集、模型代码、方案文档和演示视频（可选），方案文档需完整描述数据集的构造方法和算法的设计思路。</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构造的数据集需满足提出的数据多样性的标准，切分训练集和测试集时需至少保留20%的时间长度和50%的时间序列作为测试集。</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预测算法采用MAE（Mean Average Error）和sMAPE（Symmetric Mean Absolute Percentage Error）作为评价指标，其中sMAPE指标拥有更高的优先级。在指标相近的情况下，算法的训练和推理时间将作为参考评价指标。</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人工评委审核成绩从4个方面考核：结果复现评估，方案可行性分析，方案完整性评估，方案通用性评估。</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b/>
          <w:bCs/>
          <w:i w:val="0"/>
          <w:iCs w:val="0"/>
          <w:caps w:val="0"/>
          <w:color w:val="333333"/>
          <w:spacing w:val="0"/>
          <w:sz w:val="32"/>
          <w:szCs w:val="32"/>
          <w:shd w:val="clear" w:fill="FFFFFF"/>
        </w:rPr>
        <w:t>2.4咨询专家及联系邮箱</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盛镇醴 -</w:t>
      </w:r>
      <w:r>
        <w:rPr>
          <w:rFonts w:hint="eastAsia" w:ascii="等线" w:hAnsi="等线" w:eastAsia="等线" w:cs="等线"/>
          <w:i w:val="0"/>
          <w:iCs w:val="0"/>
          <w:caps w:val="0"/>
          <w:color w:val="333333"/>
          <w:spacing w:val="0"/>
          <w:sz w:val="21"/>
          <w:szCs w:val="21"/>
          <w:shd w:val="clear" w:fill="FFFFFF"/>
        </w:rPr>
        <w:t> </w:t>
      </w:r>
      <w:r>
        <w:rPr>
          <w:rFonts w:hint="eastAsia" w:ascii="华文仿宋" w:hAnsi="华文仿宋" w:eastAsia="华文仿宋" w:cs="华文仿宋"/>
          <w:i w:val="0"/>
          <w:iCs w:val="0"/>
          <w:caps w:val="0"/>
          <w:color w:val="333333"/>
          <w:spacing w:val="0"/>
          <w:sz w:val="32"/>
          <w:szCs w:val="32"/>
          <w:shd w:val="clear" w:fill="FFFFFF"/>
        </w:rPr>
        <w:t>shengzhenli@huawei.com</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周乐夔 - zhoulekui@huawei.com</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b/>
          <w:bCs/>
          <w:i w:val="0"/>
          <w:iCs w:val="0"/>
          <w:caps w:val="0"/>
          <w:color w:val="333333"/>
          <w:spacing w:val="0"/>
          <w:sz w:val="32"/>
          <w:szCs w:val="32"/>
          <w:shd w:val="clear" w:fill="FFFFFF"/>
        </w:rPr>
        <w:t>2.5参考数据集</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通用云服务：</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等线" w:hAnsi="等线" w:eastAsia="等线" w:cs="等线"/>
          <w:i w:val="0"/>
          <w:iCs w:val="0"/>
          <w:caps w:val="0"/>
          <w:color w:val="1890FF"/>
          <w:spacing w:val="0"/>
          <w:sz w:val="21"/>
          <w:szCs w:val="21"/>
          <w:u w:val="none"/>
          <w:shd w:val="clear" w:fill="FFFFFF"/>
        </w:rPr>
        <w:fldChar w:fldCharType="begin"/>
      </w:r>
      <w:r>
        <w:rPr>
          <w:rFonts w:hint="eastAsia" w:ascii="等线" w:hAnsi="等线" w:eastAsia="等线" w:cs="等线"/>
          <w:i w:val="0"/>
          <w:iCs w:val="0"/>
          <w:caps w:val="0"/>
          <w:color w:val="1890FF"/>
          <w:spacing w:val="0"/>
          <w:sz w:val="21"/>
          <w:szCs w:val="21"/>
          <w:u w:val="none"/>
          <w:shd w:val="clear" w:fill="FFFFFF"/>
        </w:rPr>
        <w:instrText xml:space="preserve"> HYPERLINK "https://aws.amazon.com/cn/forecast/" </w:instrText>
      </w:r>
      <w:r>
        <w:rPr>
          <w:rFonts w:hint="eastAsia" w:ascii="等线" w:hAnsi="等线" w:eastAsia="等线" w:cs="等线"/>
          <w:i w:val="0"/>
          <w:iCs w:val="0"/>
          <w:caps w:val="0"/>
          <w:color w:val="1890FF"/>
          <w:spacing w:val="0"/>
          <w:sz w:val="21"/>
          <w:szCs w:val="21"/>
          <w:u w:val="none"/>
          <w:shd w:val="clear" w:fill="FFFFFF"/>
        </w:rPr>
        <w:fldChar w:fldCharType="separate"/>
      </w:r>
      <w:r>
        <w:rPr>
          <w:rStyle w:val="6"/>
          <w:rFonts w:hint="eastAsia" w:ascii="华文仿宋" w:hAnsi="华文仿宋" w:eastAsia="华文仿宋" w:cs="华文仿宋"/>
          <w:i w:val="0"/>
          <w:iCs w:val="0"/>
          <w:caps w:val="0"/>
          <w:color w:val="1890FF"/>
          <w:spacing w:val="0"/>
          <w:sz w:val="32"/>
          <w:szCs w:val="32"/>
          <w:u w:val="none"/>
          <w:shd w:val="clear" w:fill="FFFFFF"/>
        </w:rPr>
        <w:t>https://aws.amazon.com/cn/forecast/</w:t>
      </w:r>
      <w:r>
        <w:rPr>
          <w:rFonts w:hint="eastAsia" w:ascii="等线" w:hAnsi="等线" w:eastAsia="等线" w:cs="等线"/>
          <w:i w:val="0"/>
          <w:iCs w:val="0"/>
          <w:caps w:val="0"/>
          <w:color w:val="1890FF"/>
          <w:spacing w:val="0"/>
          <w:sz w:val="21"/>
          <w:szCs w:val="21"/>
          <w:u w:val="none"/>
          <w:shd w:val="clear" w:fill="FFFFFF"/>
        </w:rPr>
        <w:fldChar w:fldCharType="end"/>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公开时序预测数据集：</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等线" w:hAnsi="等线" w:eastAsia="等线" w:cs="等线"/>
          <w:i w:val="0"/>
          <w:iCs w:val="0"/>
          <w:caps w:val="0"/>
          <w:color w:val="1890FF"/>
          <w:spacing w:val="0"/>
          <w:sz w:val="21"/>
          <w:szCs w:val="21"/>
          <w:u w:val="none"/>
          <w:shd w:val="clear" w:fill="FFFFFF"/>
        </w:rPr>
        <w:fldChar w:fldCharType="begin"/>
      </w:r>
      <w:r>
        <w:rPr>
          <w:rFonts w:hint="eastAsia" w:ascii="等线" w:hAnsi="等线" w:eastAsia="等线" w:cs="等线"/>
          <w:i w:val="0"/>
          <w:iCs w:val="0"/>
          <w:caps w:val="0"/>
          <w:color w:val="1890FF"/>
          <w:spacing w:val="0"/>
          <w:sz w:val="21"/>
          <w:szCs w:val="21"/>
          <w:u w:val="none"/>
          <w:shd w:val="clear" w:fill="FFFFFF"/>
        </w:rPr>
        <w:instrText xml:space="preserve"> HYPERLINK "https://www.kaggle.com/datasets/yogesh94/m4-forecasting-competition-dataset" </w:instrText>
      </w:r>
      <w:r>
        <w:rPr>
          <w:rFonts w:hint="eastAsia" w:ascii="等线" w:hAnsi="等线" w:eastAsia="等线" w:cs="等线"/>
          <w:i w:val="0"/>
          <w:iCs w:val="0"/>
          <w:caps w:val="0"/>
          <w:color w:val="1890FF"/>
          <w:spacing w:val="0"/>
          <w:sz w:val="21"/>
          <w:szCs w:val="21"/>
          <w:u w:val="none"/>
          <w:shd w:val="clear" w:fill="FFFFFF"/>
        </w:rPr>
        <w:fldChar w:fldCharType="separate"/>
      </w:r>
      <w:r>
        <w:rPr>
          <w:rStyle w:val="6"/>
          <w:rFonts w:hint="eastAsia" w:ascii="华文仿宋" w:hAnsi="华文仿宋" w:eastAsia="华文仿宋" w:cs="华文仿宋"/>
          <w:i w:val="0"/>
          <w:iCs w:val="0"/>
          <w:caps w:val="0"/>
          <w:color w:val="1890FF"/>
          <w:spacing w:val="0"/>
          <w:sz w:val="32"/>
          <w:szCs w:val="32"/>
          <w:u w:val="none"/>
          <w:shd w:val="clear" w:fill="FFFFFF"/>
        </w:rPr>
        <w:t>https://www.kaggle.com/datasets/yogesh94/m4-forecasting-competition-dataset</w:t>
      </w:r>
      <w:r>
        <w:rPr>
          <w:rFonts w:hint="eastAsia" w:ascii="等线" w:hAnsi="等线" w:eastAsia="等线" w:cs="等线"/>
          <w:i w:val="0"/>
          <w:iCs w:val="0"/>
          <w:caps w:val="0"/>
          <w:color w:val="1890FF"/>
          <w:spacing w:val="0"/>
          <w:sz w:val="21"/>
          <w:szCs w:val="21"/>
          <w:u w:val="none"/>
          <w:shd w:val="clear" w:fill="FFFFFF"/>
        </w:rPr>
        <w:fldChar w:fldCharType="end"/>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等线" w:hAnsi="等线" w:eastAsia="等线" w:cs="等线"/>
          <w:i w:val="0"/>
          <w:iCs w:val="0"/>
          <w:caps w:val="0"/>
          <w:color w:val="1890FF"/>
          <w:spacing w:val="0"/>
          <w:sz w:val="21"/>
          <w:szCs w:val="21"/>
          <w:u w:val="none"/>
          <w:shd w:val="clear" w:fill="FFFFFF"/>
        </w:rPr>
        <w:fldChar w:fldCharType="begin"/>
      </w:r>
      <w:r>
        <w:rPr>
          <w:rFonts w:hint="eastAsia" w:ascii="等线" w:hAnsi="等线" w:eastAsia="等线" w:cs="等线"/>
          <w:i w:val="0"/>
          <w:iCs w:val="0"/>
          <w:caps w:val="0"/>
          <w:color w:val="1890FF"/>
          <w:spacing w:val="0"/>
          <w:sz w:val="21"/>
          <w:szCs w:val="21"/>
          <w:u w:val="none"/>
          <w:shd w:val="clear" w:fill="FFFFFF"/>
        </w:rPr>
        <w:instrText xml:space="preserve"> HYPERLINK "https://robjhyndman.com/publications/the-tourism-forecasting-competition/" </w:instrText>
      </w:r>
      <w:r>
        <w:rPr>
          <w:rFonts w:hint="eastAsia" w:ascii="等线" w:hAnsi="等线" w:eastAsia="等线" w:cs="等线"/>
          <w:i w:val="0"/>
          <w:iCs w:val="0"/>
          <w:caps w:val="0"/>
          <w:color w:val="1890FF"/>
          <w:spacing w:val="0"/>
          <w:sz w:val="21"/>
          <w:szCs w:val="21"/>
          <w:u w:val="none"/>
          <w:shd w:val="clear" w:fill="FFFFFF"/>
        </w:rPr>
        <w:fldChar w:fldCharType="separate"/>
      </w:r>
      <w:r>
        <w:rPr>
          <w:rStyle w:val="6"/>
          <w:rFonts w:hint="eastAsia" w:ascii="华文仿宋" w:hAnsi="华文仿宋" w:eastAsia="华文仿宋" w:cs="华文仿宋"/>
          <w:i w:val="0"/>
          <w:iCs w:val="0"/>
          <w:caps w:val="0"/>
          <w:color w:val="1890FF"/>
          <w:spacing w:val="0"/>
          <w:sz w:val="32"/>
          <w:szCs w:val="32"/>
          <w:u w:val="none"/>
          <w:shd w:val="clear" w:fill="FFFFFF"/>
        </w:rPr>
        <w:t>https://robjhyndman.com/publications/the-tourism-forecasting-competition/</w:t>
      </w:r>
      <w:r>
        <w:rPr>
          <w:rFonts w:hint="eastAsia" w:ascii="等线" w:hAnsi="等线" w:eastAsia="等线" w:cs="等线"/>
          <w:i w:val="0"/>
          <w:iCs w:val="0"/>
          <w:caps w:val="0"/>
          <w:color w:val="1890FF"/>
          <w:spacing w:val="0"/>
          <w:sz w:val="21"/>
          <w:szCs w:val="21"/>
          <w:u w:val="none"/>
          <w:shd w:val="clear" w:fill="FFFFFF"/>
        </w:rPr>
        <w:fldChar w:fldCharType="end"/>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等线" w:hAnsi="等线" w:eastAsia="等线" w:cs="等线"/>
          <w:i w:val="0"/>
          <w:iCs w:val="0"/>
          <w:caps w:val="0"/>
          <w:color w:val="1890FF"/>
          <w:spacing w:val="0"/>
          <w:sz w:val="21"/>
          <w:szCs w:val="21"/>
          <w:u w:val="none"/>
          <w:shd w:val="clear" w:fill="FFFFFF"/>
        </w:rPr>
        <w:fldChar w:fldCharType="begin"/>
      </w:r>
      <w:r>
        <w:rPr>
          <w:rFonts w:hint="eastAsia" w:ascii="等线" w:hAnsi="等线" w:eastAsia="等线" w:cs="等线"/>
          <w:i w:val="0"/>
          <w:iCs w:val="0"/>
          <w:caps w:val="0"/>
          <w:color w:val="1890FF"/>
          <w:spacing w:val="0"/>
          <w:sz w:val="21"/>
          <w:szCs w:val="21"/>
          <w:u w:val="none"/>
          <w:shd w:val="clear" w:fill="FFFFFF"/>
        </w:rPr>
        <w:instrText xml:space="preserve"> HYPERLINK "http://www.neural-forecasting-competition.com/downloads/NN5/datasets/download.htm" </w:instrText>
      </w:r>
      <w:r>
        <w:rPr>
          <w:rFonts w:hint="eastAsia" w:ascii="等线" w:hAnsi="等线" w:eastAsia="等线" w:cs="等线"/>
          <w:i w:val="0"/>
          <w:iCs w:val="0"/>
          <w:caps w:val="0"/>
          <w:color w:val="1890FF"/>
          <w:spacing w:val="0"/>
          <w:sz w:val="21"/>
          <w:szCs w:val="21"/>
          <w:u w:val="none"/>
          <w:shd w:val="clear" w:fill="FFFFFF"/>
        </w:rPr>
        <w:fldChar w:fldCharType="separate"/>
      </w:r>
      <w:r>
        <w:rPr>
          <w:rStyle w:val="6"/>
          <w:rFonts w:hint="eastAsia" w:ascii="华文仿宋" w:hAnsi="华文仿宋" w:eastAsia="华文仿宋" w:cs="华文仿宋"/>
          <w:i w:val="0"/>
          <w:iCs w:val="0"/>
          <w:caps w:val="0"/>
          <w:color w:val="1890FF"/>
          <w:spacing w:val="0"/>
          <w:sz w:val="32"/>
          <w:szCs w:val="32"/>
          <w:u w:val="none"/>
          <w:shd w:val="clear" w:fill="FFFFFF"/>
        </w:rPr>
        <w:t>http://www.neural-forecasting-competition.com/downloads/NN5/datasets/download.htm</w:t>
      </w:r>
      <w:r>
        <w:rPr>
          <w:rFonts w:hint="eastAsia" w:ascii="等线" w:hAnsi="等线" w:eastAsia="等线" w:cs="等线"/>
          <w:i w:val="0"/>
          <w:iCs w:val="0"/>
          <w:caps w:val="0"/>
          <w:color w:val="1890FF"/>
          <w:spacing w:val="0"/>
          <w:sz w:val="21"/>
          <w:szCs w:val="21"/>
          <w:u w:val="none"/>
          <w:shd w:val="clear" w:fill="FFFFFF"/>
        </w:rPr>
        <w:fldChar w:fldCharType="end"/>
      </w:r>
    </w:p>
    <w:p>
      <w:pPr>
        <w:keepNext w:val="0"/>
        <w:keepLines w:val="0"/>
        <w:widowControl/>
        <w:numPr>
          <w:ilvl w:val="0"/>
          <w:numId w:val="4"/>
        </w:numPr>
        <w:suppressLineNumbers w:val="0"/>
        <w:spacing w:before="0" w:beforeAutospacing="0" w:after="0" w:afterAutospacing="0"/>
        <w:ind w:left="0" w:right="0" w:hanging="360"/>
        <w:jc w:val="both"/>
      </w:pPr>
      <w:r>
        <w:rPr>
          <w:rFonts w:hint="eastAsia" w:ascii="华文仿宋" w:hAnsi="华文仿宋" w:eastAsia="华文仿宋" w:cs="华文仿宋"/>
          <w:b/>
          <w:bCs/>
          <w:i w:val="0"/>
          <w:iCs w:val="0"/>
          <w:caps w:val="0"/>
          <w:color w:val="333333"/>
          <w:spacing w:val="0"/>
          <w:sz w:val="32"/>
          <w:szCs w:val="32"/>
          <w:shd w:val="clear" w:fill="FFFFFF"/>
        </w:rPr>
        <w:t>华为赛题三</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b/>
          <w:bCs/>
          <w:i w:val="0"/>
          <w:iCs w:val="0"/>
          <w:caps w:val="0"/>
          <w:color w:val="333333"/>
          <w:spacing w:val="0"/>
          <w:sz w:val="32"/>
          <w:szCs w:val="32"/>
          <w:shd w:val="clear" w:fill="FFFFFF"/>
        </w:rPr>
        <w:t>3.1题目名称</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通过穿戴设备监测高糖发生次数</w:t>
      </w:r>
    </w:p>
    <w:p>
      <w:pPr>
        <w:pStyle w:val="2"/>
        <w:keepNext w:val="0"/>
        <w:keepLines w:val="0"/>
        <w:widowControl/>
        <w:suppressLineNumbers w:val="0"/>
        <w:shd w:val="clear" w:fill="FFFFFF"/>
        <w:spacing w:before="0" w:beforeAutospacing="0" w:after="0" w:afterAutospacing="0" w:line="8"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华文仿宋" w:hAnsi="华文仿宋" w:eastAsia="华文仿宋" w:cs="华文仿宋"/>
          <w:b/>
          <w:bCs/>
          <w:i w:val="0"/>
          <w:iCs w:val="0"/>
          <w:caps w:val="0"/>
          <w:color w:val="333333"/>
          <w:spacing w:val="0"/>
          <w:sz w:val="32"/>
          <w:szCs w:val="32"/>
          <w:shd w:val="clear" w:fill="FFFFFF"/>
        </w:rPr>
        <w:t>3.2题目描述</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按照ADA标准，我国成年人中糖尿病前期患病率超过35%，在糖尿病前期进行控糖能够有效降低II型糖尿病和心血管疾病的风险，具有重大意义。然而，由于成本体验等原因，糖尿病前期人群中通过有创设备监测控糖水平的人很少，智能穿戴技术的巨大进步为解决糖尿病前期人群的控糖水平监测提供了前所未有的机会。</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在《持续葡萄糖监测临床应用国际专家共识 (2017)》中，TIR、TAR、TBR被推荐作为CGM的关键报告参数，分别反映血糖良好控制情况、高血糖和低血糖情况。《TIR国际共识》推荐大多数糖尿病患者TIR（3.9～10.0 mmol/L）控制目标为＞70%、TBR（＜3.9 mmol/L）&lt;4%；TIR每增加5%，1型糖尿病（T1DM）和2型糖尿病（T2DM）患者显著临床获益；对于老年或高风险T1DM/T2DM患者，TIR控制目标降至&gt;50%，TBR降至&lt;1%，旨在进一步减少低血糖、同时预防严重高血糖；T1DM合并妊娠患者TIR（3.5~7.8 mmol/L）目标为＞70%。对于伴有合并症及并发症的糖尿病患者，《糖尿病管理中TIR个体化控制目标：多国专家建议(2020)》强调应根据具体情况，个体化设定TIR、TAR与TBR控制目标。</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数据集由16个糖前（或者接近糖前）用户组成，血糖监测设备记录用户的葡萄糖浓度（mg/dl）,穿戴记录了血容量脉冲（BVP）信号、皮肤电活动（EDA）、皮肤温度和三轴加速度计。以血糖监测设备得到的血糖值是否处于正常范围（小于7.8mmol/L）,把血糖值分类为正常值和异常高值（高糖）共两类。以两分类作为金标，从穿戴设备记录的数据种提取特征，训练机器学习模型，测试人群每天的高糖发生次数。</w:t>
      </w:r>
    </w:p>
    <w:p>
      <w:pPr>
        <w:pStyle w:val="2"/>
        <w:keepNext w:val="0"/>
        <w:keepLines w:val="0"/>
        <w:widowControl/>
        <w:suppressLineNumbers w:val="0"/>
        <w:shd w:val="clear" w:fill="FFFFFF"/>
        <w:spacing w:before="0" w:beforeAutospacing="0" w:after="0" w:afterAutospacing="0" w:line="8"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华文仿宋" w:hAnsi="华文仿宋" w:eastAsia="华文仿宋" w:cs="华文仿宋"/>
          <w:b/>
          <w:bCs/>
          <w:i w:val="0"/>
          <w:iCs w:val="0"/>
          <w:caps w:val="0"/>
          <w:color w:val="333333"/>
          <w:spacing w:val="0"/>
          <w:sz w:val="32"/>
          <w:szCs w:val="32"/>
          <w:shd w:val="clear" w:fill="FFFFFF"/>
        </w:rPr>
        <w:t>3.3具体要求</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1）建议使用7.8mmol/L作为糖尿病前期人群高糖的边界，允许在此基础上有微调，例如根据数据情况可选择7.5mmol/L等。注：参数设置不合理将导致训练和测试正负样本失衡，影响最终评分。</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2）输入:某用户一天内从无创设备提供的心率（HR）、血容量脉冲（BVP）信号等数据</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3）输出: 该用户当天血糖值超过7.8mmol/L的次数。对比的金标是根据Dexcom.csv每五分钟记录的值统计此人当天实际超过7.8mmol/L的次数。</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4）打分: 提供多天的测试数据，累计算法输出的次数与金标差异，差异越小得分越高。</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5）自由选择机器学习方法训练模型（总共有16人的数据，建议在区分训练集和测试集时按照训练8人，测试8人的比例划分，可随机选8人，最终准确度需随机多次取平均，评审时需考虑模型的过拟合等问题）</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6）参赛团队可以自行选择训练样本的粒度，自由设置模型的分类能力（例如可选五分钟粒度的样本训练二分类），最终只要给出一天血糖值超过所选阈值的次数即可。</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7）最终打榜成绩（计50%分数）。线下提供测试集，测试参数团队模型的准确性。通过线下脚本计算判分取Top10进行人工评委审核，若存在并列成绩情况，可多取候选者。</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8）最终评委组通过线下自动化脚本判分，以邮件或官网形式公布最后的打榜成绩。</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华文仿宋" w:hAnsi="华文仿宋" w:eastAsia="华文仿宋" w:cs="华文仿宋"/>
          <w:i w:val="0"/>
          <w:iCs w:val="0"/>
          <w:caps w:val="0"/>
          <w:color w:val="333333"/>
          <w:spacing w:val="0"/>
          <w:sz w:val="32"/>
          <w:szCs w:val="32"/>
          <w:shd w:val="clear" w:fill="FFFFFF"/>
        </w:rPr>
        <w:t>        9）人工评委审核成绩（计50%分数）。评审从5个方面考核：打榜结果复现评估，方案可行性分析，方案创新性评估，方案可迁移性评估，方案实用性评估；初审评委人员待定。</w:t>
      </w:r>
    </w:p>
    <w:p>
      <w:pPr>
        <w:pStyle w:val="2"/>
        <w:keepNext w:val="0"/>
        <w:keepLines w:val="0"/>
        <w:widowControl/>
        <w:suppressLineNumbers w:val="0"/>
        <w:shd w:val="clear" w:fill="FFFFFF"/>
        <w:spacing w:before="0" w:beforeAutospacing="0" w:after="0" w:afterAutospacing="0" w:line="8"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华文仿宋" w:hAnsi="华文仿宋" w:eastAsia="华文仿宋" w:cs="华文仿宋"/>
          <w:b/>
          <w:bCs/>
          <w:i w:val="0"/>
          <w:iCs w:val="0"/>
          <w:caps w:val="0"/>
          <w:color w:val="333333"/>
          <w:spacing w:val="0"/>
          <w:sz w:val="32"/>
          <w:szCs w:val="32"/>
          <w:shd w:val="clear" w:fill="FFFFFF"/>
        </w:rPr>
        <w:t>3.4咨询专家及联系邮箱</w:t>
      </w:r>
    </w:p>
    <w:p>
      <w:pPr>
        <w:pStyle w:val="2"/>
        <w:keepNext w:val="0"/>
        <w:keepLines w:val="0"/>
        <w:widowControl/>
        <w:suppressLineNumbers w:val="0"/>
        <w:shd w:val="clear" w:fill="FFFFFF"/>
        <w:spacing w:before="0" w:beforeAutospacing="0" w:after="0" w:afterAutospacing="0" w:line="8"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华文仿宋" w:hAnsi="华文仿宋" w:eastAsia="华文仿宋" w:cs="华文仿宋"/>
          <w:i w:val="0"/>
          <w:iCs w:val="0"/>
          <w:caps w:val="0"/>
          <w:color w:val="333333"/>
          <w:spacing w:val="0"/>
          <w:sz w:val="32"/>
          <w:szCs w:val="32"/>
          <w:shd w:val="clear" w:fill="FFFFFF"/>
        </w:rPr>
        <w:t>        李露平 –</w:t>
      </w:r>
      <w:r>
        <w:rPr>
          <w:rFonts w:hint="eastAsia" w:ascii="等线" w:hAnsi="等线" w:eastAsia="等线" w:cs="等线"/>
          <w:i w:val="0"/>
          <w:iCs w:val="0"/>
          <w:caps w:val="0"/>
          <w:color w:val="333333"/>
          <w:spacing w:val="0"/>
          <w:sz w:val="21"/>
          <w:szCs w:val="21"/>
          <w:shd w:val="clear" w:fill="FFFFFF"/>
        </w:rPr>
        <w:t> </w:t>
      </w:r>
      <w:r>
        <w:rPr>
          <w:rFonts w:hint="eastAsia" w:ascii="华文仿宋" w:hAnsi="华文仿宋" w:eastAsia="华文仿宋" w:cs="华文仿宋"/>
          <w:i w:val="0"/>
          <w:iCs w:val="0"/>
          <w:caps w:val="0"/>
          <w:color w:val="333333"/>
          <w:spacing w:val="0"/>
          <w:sz w:val="32"/>
          <w:szCs w:val="32"/>
          <w:shd w:val="clear" w:fill="FFFFFF"/>
        </w:rPr>
        <w:t>liluping4@huawei.com</w:t>
      </w:r>
    </w:p>
    <w:p>
      <w:pPr>
        <w:pStyle w:val="2"/>
        <w:keepNext w:val="0"/>
        <w:keepLines w:val="0"/>
        <w:widowControl/>
        <w:suppressLineNumbers w:val="0"/>
        <w:shd w:val="clear" w:fill="FFFFFF"/>
        <w:spacing w:before="0" w:beforeAutospacing="0" w:after="0" w:afterAutospacing="0" w:line="8"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华文仿宋" w:hAnsi="华文仿宋" w:eastAsia="华文仿宋" w:cs="华文仿宋"/>
          <w:b/>
          <w:bCs/>
          <w:i w:val="0"/>
          <w:iCs w:val="0"/>
          <w:caps w:val="0"/>
          <w:color w:val="333333"/>
          <w:spacing w:val="0"/>
          <w:sz w:val="32"/>
          <w:szCs w:val="32"/>
          <w:shd w:val="clear" w:fill="FFFFFF"/>
        </w:rPr>
        <w:t>3.5参考数据集</w:t>
      </w:r>
    </w:p>
    <w:p>
      <w:pPr>
        <w:pStyle w:val="3"/>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2"/>
          <w:szCs w:val="12"/>
        </w:rPr>
      </w:pPr>
      <w:r>
        <w:rPr>
          <w:rFonts w:hint="eastAsia" w:ascii="等线" w:hAnsi="等线" w:eastAsia="等线" w:cs="等线"/>
          <w:i w:val="0"/>
          <w:iCs w:val="0"/>
          <w:caps w:val="0"/>
          <w:color w:val="1890FF"/>
          <w:spacing w:val="0"/>
          <w:sz w:val="21"/>
          <w:szCs w:val="21"/>
          <w:u w:val="none"/>
          <w:shd w:val="clear" w:fill="FFFFFF"/>
        </w:rPr>
        <w:fldChar w:fldCharType="begin"/>
      </w:r>
      <w:r>
        <w:rPr>
          <w:rFonts w:hint="eastAsia" w:ascii="等线" w:hAnsi="等线" w:eastAsia="等线" w:cs="等线"/>
          <w:i w:val="0"/>
          <w:iCs w:val="0"/>
          <w:caps w:val="0"/>
          <w:color w:val="1890FF"/>
          <w:spacing w:val="0"/>
          <w:sz w:val="21"/>
          <w:szCs w:val="21"/>
          <w:u w:val="none"/>
          <w:shd w:val="clear" w:fill="FFFFFF"/>
        </w:rPr>
        <w:instrText xml:space="preserve"> HYPERLINK "https://physionet.org/static/published-projects/big-ideas-glycemic-wearable/big-ideas-lab-glycemic-variability-and-wearable-device-data-1.1.0.zip" </w:instrText>
      </w:r>
      <w:r>
        <w:rPr>
          <w:rFonts w:hint="eastAsia" w:ascii="等线" w:hAnsi="等线" w:eastAsia="等线" w:cs="等线"/>
          <w:i w:val="0"/>
          <w:iCs w:val="0"/>
          <w:caps w:val="0"/>
          <w:color w:val="1890FF"/>
          <w:spacing w:val="0"/>
          <w:sz w:val="21"/>
          <w:szCs w:val="21"/>
          <w:u w:val="none"/>
          <w:shd w:val="clear" w:fill="FFFFFF"/>
        </w:rPr>
        <w:fldChar w:fldCharType="separate"/>
      </w:r>
      <w:r>
        <w:rPr>
          <w:rStyle w:val="6"/>
          <w:rFonts w:hint="eastAsia" w:ascii="华文仿宋" w:hAnsi="华文仿宋" w:eastAsia="华文仿宋" w:cs="华文仿宋"/>
          <w:i w:val="0"/>
          <w:iCs w:val="0"/>
          <w:caps w:val="0"/>
          <w:color w:val="1890FF"/>
          <w:spacing w:val="0"/>
          <w:sz w:val="32"/>
          <w:szCs w:val="32"/>
          <w:u w:val="none"/>
          <w:shd w:val="clear" w:fill="FFFFFF"/>
        </w:rPr>
        <w:t>https://physionet.org/static/published-projects/big-ideas-glycemic-wearable/big-ideas-lab-glycemic-variability-and-wearable-device-data-1.1.0.zip</w:t>
      </w:r>
      <w:r>
        <w:rPr>
          <w:rFonts w:hint="eastAsia" w:ascii="等线" w:hAnsi="等线" w:eastAsia="等线" w:cs="等线"/>
          <w:i w:val="0"/>
          <w:iCs w:val="0"/>
          <w:caps w:val="0"/>
          <w:color w:val="1890FF"/>
          <w:spacing w:val="0"/>
          <w:sz w:val="21"/>
          <w:szCs w:val="21"/>
          <w:u w:val="none"/>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D085E"/>
    <w:multiLevelType w:val="multilevel"/>
    <w:tmpl w:val="D63D085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EE157BF9"/>
    <w:multiLevelType w:val="multilevel"/>
    <w:tmpl w:val="EE157BF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0004D690"/>
    <w:multiLevelType w:val="multilevel"/>
    <w:tmpl w:val="0004D69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2C8D0C93"/>
    <w:multiLevelType w:val="multilevel"/>
    <w:tmpl w:val="2C8D0C9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jMDA5ODU1YWY1YTcyZDRkODhkYWQ2YTUxZWVmMzQifQ=="/>
  </w:docVars>
  <w:rsids>
    <w:rsidRoot w:val="671A303C"/>
    <w:rsid w:val="00111CB8"/>
    <w:rsid w:val="671A3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3504</Words>
  <Characters>5013</Characters>
  <Lines>0</Lines>
  <Paragraphs>0</Paragraphs>
  <TotalTime>1</TotalTime>
  <ScaleCrop>false</ScaleCrop>
  <LinksUpToDate>false</LinksUpToDate>
  <CharactersWithSpaces>5355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2023-06-30T01:43:00Z</dcterms:created>
  <dc:creator>小七七</dc:creator>
  <cp:lastModifiedBy>小七七</cp:lastModifiedBy>
  <dcterms:modified xsi:type="dcterms:W3CDTF">2023-06-30T01:51:38Z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9FFAD4019F5E480FBD99F787E400B93E_11</vt:lpwstr>
  </property>
</Properties>
</file>